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EC" w:rsidRPr="00D45C29" w:rsidRDefault="004663EC" w:rsidP="004663EC">
      <w:pPr>
        <w:spacing w:after="0"/>
        <w:jc w:val="center"/>
        <w:rPr>
          <w:b/>
          <w:sz w:val="28"/>
          <w:szCs w:val="28"/>
        </w:rPr>
      </w:pPr>
      <w:bookmarkStart w:id="0" w:name="_GoBack"/>
      <w:bookmarkEnd w:id="0"/>
      <w:r w:rsidRPr="00D45C29">
        <w:rPr>
          <w:rFonts w:eastAsia="Calibri" w:cs="Times New Roman"/>
          <w:b/>
          <w:sz w:val="28"/>
          <w:szCs w:val="28"/>
        </w:rPr>
        <w:t>The Effect</w:t>
      </w:r>
      <w:r w:rsidRPr="00D45C29">
        <w:rPr>
          <w:b/>
          <w:sz w:val="28"/>
          <w:szCs w:val="28"/>
        </w:rPr>
        <w:t>s</w:t>
      </w:r>
      <w:r w:rsidRPr="00D45C29">
        <w:rPr>
          <w:rFonts w:eastAsia="Calibri" w:cs="Times New Roman"/>
          <w:b/>
          <w:sz w:val="28"/>
          <w:szCs w:val="28"/>
        </w:rPr>
        <w:t xml:space="preserve"> of HOPE on </w:t>
      </w:r>
      <w:r w:rsidRPr="00D45C29">
        <w:rPr>
          <w:b/>
          <w:sz w:val="28"/>
          <w:szCs w:val="28"/>
        </w:rPr>
        <w:t>Post-</w:t>
      </w:r>
      <w:r w:rsidR="00363AD4">
        <w:rPr>
          <w:b/>
          <w:sz w:val="28"/>
          <w:szCs w:val="28"/>
        </w:rPr>
        <w:t>College</w:t>
      </w:r>
      <w:r w:rsidR="00363AD4" w:rsidRPr="00D45C29">
        <w:rPr>
          <w:b/>
          <w:sz w:val="28"/>
          <w:szCs w:val="28"/>
        </w:rPr>
        <w:t xml:space="preserve"> </w:t>
      </w:r>
      <w:r w:rsidRPr="00D45C29">
        <w:rPr>
          <w:rFonts w:eastAsia="Calibri" w:cs="Times New Roman"/>
          <w:b/>
          <w:sz w:val="28"/>
          <w:szCs w:val="28"/>
        </w:rPr>
        <w:t>Retention</w:t>
      </w:r>
      <w:r w:rsidRPr="00D45C29">
        <w:rPr>
          <w:b/>
          <w:sz w:val="28"/>
          <w:szCs w:val="28"/>
        </w:rPr>
        <w:t xml:space="preserve"> in the Georgia Workforce</w:t>
      </w:r>
    </w:p>
    <w:p w:rsidR="00D45C29" w:rsidRDefault="00D45C29" w:rsidP="004663EC">
      <w:pPr>
        <w:spacing w:after="0"/>
        <w:jc w:val="center"/>
        <w:rPr>
          <w:sz w:val="28"/>
          <w:szCs w:val="28"/>
        </w:rPr>
      </w:pPr>
    </w:p>
    <w:p w:rsidR="00D45C29" w:rsidRDefault="00D45C29" w:rsidP="004663EC">
      <w:pPr>
        <w:spacing w:after="0"/>
        <w:jc w:val="center"/>
        <w:rPr>
          <w:sz w:val="28"/>
          <w:szCs w:val="28"/>
        </w:rPr>
      </w:pPr>
    </w:p>
    <w:p w:rsidR="00D45C29" w:rsidRDefault="00D45C29" w:rsidP="004663EC">
      <w:pPr>
        <w:spacing w:after="0"/>
        <w:jc w:val="center"/>
        <w:rPr>
          <w:sz w:val="28"/>
          <w:szCs w:val="28"/>
        </w:rPr>
      </w:pPr>
    </w:p>
    <w:p w:rsidR="004663EC" w:rsidRPr="00F355C8" w:rsidRDefault="004663EC" w:rsidP="00BA5F55">
      <w:pPr>
        <w:spacing w:after="0" w:line="276" w:lineRule="auto"/>
        <w:jc w:val="center"/>
        <w:rPr>
          <w:szCs w:val="24"/>
        </w:rPr>
      </w:pPr>
      <w:r w:rsidRPr="00F355C8">
        <w:rPr>
          <w:szCs w:val="24"/>
        </w:rPr>
        <w:t>David L. Sjoquist</w:t>
      </w:r>
    </w:p>
    <w:p w:rsidR="005A73FC" w:rsidRDefault="005A73FC" w:rsidP="00BA5F55">
      <w:pPr>
        <w:spacing w:after="0" w:line="276" w:lineRule="auto"/>
        <w:jc w:val="center"/>
        <w:rPr>
          <w:szCs w:val="24"/>
        </w:rPr>
      </w:pPr>
      <w:r>
        <w:rPr>
          <w:szCs w:val="24"/>
        </w:rPr>
        <w:t>Andrew Young School of Policy Studies</w:t>
      </w:r>
    </w:p>
    <w:p w:rsidR="004663EC" w:rsidRDefault="004663EC" w:rsidP="00BA5F55">
      <w:pPr>
        <w:spacing w:after="0" w:line="276" w:lineRule="auto"/>
        <w:jc w:val="center"/>
        <w:rPr>
          <w:szCs w:val="24"/>
        </w:rPr>
      </w:pPr>
      <w:r w:rsidRPr="00F355C8">
        <w:rPr>
          <w:szCs w:val="24"/>
        </w:rPr>
        <w:t>Georgia State University</w:t>
      </w:r>
    </w:p>
    <w:p w:rsidR="005A73FC" w:rsidRPr="00F355C8" w:rsidRDefault="00BA5F55" w:rsidP="00BA5F55">
      <w:pPr>
        <w:spacing w:after="0" w:line="276" w:lineRule="auto"/>
        <w:jc w:val="center"/>
        <w:rPr>
          <w:szCs w:val="24"/>
        </w:rPr>
      </w:pPr>
      <w:r>
        <w:rPr>
          <w:szCs w:val="24"/>
        </w:rPr>
        <w:t>Atlanta, Georgia</w:t>
      </w:r>
    </w:p>
    <w:p w:rsidR="005A73FC" w:rsidRDefault="00742353" w:rsidP="00BA5F55">
      <w:pPr>
        <w:spacing w:after="0" w:line="276" w:lineRule="auto"/>
        <w:jc w:val="center"/>
      </w:pPr>
      <w:hyperlink r:id="rId9" w:history="1">
        <w:r w:rsidR="004663EC" w:rsidRPr="00C505D3">
          <w:rPr>
            <w:rStyle w:val="Hyperlink"/>
            <w:szCs w:val="24"/>
          </w:rPr>
          <w:t>sjoquist@gsu.edu</w:t>
        </w:r>
      </w:hyperlink>
    </w:p>
    <w:p w:rsidR="004663EC" w:rsidRDefault="004663EC" w:rsidP="00BA5F55">
      <w:pPr>
        <w:spacing w:after="0" w:line="276" w:lineRule="auto"/>
        <w:jc w:val="center"/>
        <w:rPr>
          <w:szCs w:val="24"/>
        </w:rPr>
      </w:pPr>
    </w:p>
    <w:p w:rsidR="005A73FC" w:rsidRDefault="005A73FC" w:rsidP="00BA5F55">
      <w:pPr>
        <w:spacing w:after="0" w:line="276" w:lineRule="auto"/>
        <w:jc w:val="center"/>
        <w:rPr>
          <w:rFonts w:cs="Times New Roman"/>
          <w:b/>
          <w:szCs w:val="24"/>
        </w:rPr>
      </w:pPr>
    </w:p>
    <w:p w:rsidR="005A73FC" w:rsidRDefault="005A73FC" w:rsidP="00BA5F55">
      <w:pPr>
        <w:spacing w:after="0" w:line="276" w:lineRule="auto"/>
        <w:jc w:val="center"/>
        <w:rPr>
          <w:szCs w:val="24"/>
        </w:rPr>
      </w:pPr>
      <w:r w:rsidRPr="00F355C8">
        <w:rPr>
          <w:szCs w:val="24"/>
        </w:rPr>
        <w:t>John V. Winters</w:t>
      </w:r>
      <w:r w:rsidR="00B07AC0">
        <w:rPr>
          <w:szCs w:val="24"/>
        </w:rPr>
        <w:t xml:space="preserve"> </w:t>
      </w:r>
    </w:p>
    <w:p w:rsidR="00973B37" w:rsidRDefault="00973B37" w:rsidP="00BA5F55">
      <w:pPr>
        <w:spacing w:after="0" w:line="276" w:lineRule="auto"/>
        <w:jc w:val="center"/>
        <w:rPr>
          <w:szCs w:val="24"/>
        </w:rPr>
      </w:pPr>
      <w:r>
        <w:rPr>
          <w:szCs w:val="24"/>
        </w:rPr>
        <w:t>Department of Economics</w:t>
      </w:r>
    </w:p>
    <w:p w:rsidR="005A73FC" w:rsidRDefault="005A73FC" w:rsidP="00BA5F55">
      <w:pPr>
        <w:spacing w:after="0" w:line="276" w:lineRule="auto"/>
        <w:jc w:val="center"/>
        <w:rPr>
          <w:szCs w:val="24"/>
        </w:rPr>
      </w:pPr>
      <w:r w:rsidRPr="00F355C8">
        <w:rPr>
          <w:szCs w:val="24"/>
        </w:rPr>
        <w:t>University of Cincinnati</w:t>
      </w:r>
    </w:p>
    <w:p w:rsidR="00973B37" w:rsidRDefault="00973B37" w:rsidP="00BA5F55">
      <w:pPr>
        <w:spacing w:after="0" w:line="276" w:lineRule="auto"/>
        <w:jc w:val="center"/>
        <w:rPr>
          <w:szCs w:val="24"/>
        </w:rPr>
      </w:pPr>
      <w:r>
        <w:rPr>
          <w:szCs w:val="24"/>
        </w:rPr>
        <w:t>Cincinnati, Ohio</w:t>
      </w:r>
    </w:p>
    <w:p w:rsidR="00885C39" w:rsidRDefault="00742353" w:rsidP="00B07AC0">
      <w:pPr>
        <w:spacing w:after="0" w:line="276" w:lineRule="auto"/>
        <w:jc w:val="center"/>
      </w:pPr>
      <w:hyperlink r:id="rId10" w:history="1">
        <w:r w:rsidR="00386884" w:rsidRPr="002A46C6">
          <w:rPr>
            <w:rStyle w:val="Hyperlink"/>
            <w:szCs w:val="24"/>
          </w:rPr>
          <w:t>winterjh@</w:t>
        </w:r>
        <w:r w:rsidR="00386884" w:rsidRPr="009663F6">
          <w:rPr>
            <w:rStyle w:val="Hyperlink"/>
            <w:szCs w:val="24"/>
          </w:rPr>
          <w:t>uc.edu</w:t>
        </w:r>
      </w:hyperlink>
      <w:r w:rsidR="00885C39" w:rsidDel="00885C39">
        <w:t xml:space="preserve"> </w:t>
      </w:r>
    </w:p>
    <w:p w:rsidR="00B07AC0" w:rsidRDefault="00B07AC0" w:rsidP="00B07AC0">
      <w:pPr>
        <w:spacing w:after="0" w:line="276" w:lineRule="auto"/>
        <w:jc w:val="center"/>
        <w:rPr>
          <w:szCs w:val="24"/>
        </w:rPr>
      </w:pPr>
      <w:r>
        <w:rPr>
          <w:szCs w:val="24"/>
        </w:rPr>
        <w:t>(</w:t>
      </w:r>
      <w:r w:rsidR="00D11F9F">
        <w:rPr>
          <w:szCs w:val="24"/>
        </w:rPr>
        <w:t>C</w:t>
      </w:r>
      <w:r>
        <w:rPr>
          <w:szCs w:val="24"/>
        </w:rPr>
        <w:t>orresponding author)</w:t>
      </w:r>
    </w:p>
    <w:p w:rsidR="005A73FC" w:rsidRDefault="005A73FC" w:rsidP="005A73FC">
      <w:pPr>
        <w:spacing w:after="0" w:line="480" w:lineRule="auto"/>
        <w:jc w:val="center"/>
        <w:rPr>
          <w:rFonts w:cs="Times New Roman"/>
          <w:b/>
          <w:szCs w:val="24"/>
        </w:rPr>
      </w:pPr>
    </w:p>
    <w:p w:rsidR="00B07AC0" w:rsidRDefault="00883ED2" w:rsidP="005A73FC">
      <w:pPr>
        <w:spacing w:after="0" w:line="480" w:lineRule="auto"/>
        <w:jc w:val="center"/>
        <w:rPr>
          <w:rFonts w:cs="Times New Roman"/>
          <w:szCs w:val="24"/>
        </w:rPr>
      </w:pPr>
      <w:r>
        <w:rPr>
          <w:rFonts w:cs="Times New Roman"/>
          <w:szCs w:val="24"/>
        </w:rPr>
        <w:t>February 2013</w:t>
      </w:r>
    </w:p>
    <w:p w:rsidR="00571DC6" w:rsidRDefault="00571DC6" w:rsidP="00BA5F55">
      <w:pPr>
        <w:spacing w:after="0" w:line="276" w:lineRule="auto"/>
        <w:rPr>
          <w:rFonts w:cs="Times New Roman"/>
          <w:szCs w:val="24"/>
        </w:rPr>
      </w:pPr>
    </w:p>
    <w:p w:rsidR="00D11F9F" w:rsidRDefault="00B07AC0" w:rsidP="00D11F9F">
      <w:pPr>
        <w:spacing w:after="0"/>
        <w:jc w:val="center"/>
        <w:rPr>
          <w:szCs w:val="24"/>
        </w:rPr>
      </w:pPr>
      <w:r>
        <w:rPr>
          <w:szCs w:val="24"/>
        </w:rPr>
        <w:t>Abstract</w:t>
      </w:r>
    </w:p>
    <w:p w:rsidR="00B07AC0" w:rsidRDefault="000B23CD" w:rsidP="00B07AC0">
      <w:pPr>
        <w:spacing w:after="0"/>
      </w:pPr>
      <w:r>
        <w:rPr>
          <w:rFonts w:eastAsia="Calibri" w:cs="Times New Roman"/>
        </w:rPr>
        <w:t>Research suggests that m</w:t>
      </w:r>
      <w:r w:rsidR="00042E8C">
        <w:rPr>
          <w:rFonts w:eastAsia="Calibri" w:cs="Times New Roman"/>
        </w:rPr>
        <w:t>erit scholarship programs increase college enrollment</w:t>
      </w:r>
      <w:r w:rsidR="00F56461">
        <w:rPr>
          <w:rFonts w:eastAsia="Calibri" w:cs="Times New Roman"/>
        </w:rPr>
        <w:t xml:space="preserve"> in states that adopt them</w:t>
      </w:r>
      <w:r w:rsidR="00042E8C">
        <w:rPr>
          <w:rFonts w:eastAsia="Calibri" w:cs="Times New Roman"/>
        </w:rPr>
        <w:t xml:space="preserve"> but post-college migration may limit the effect these programs have on the stock of college</w:t>
      </w:r>
      <w:r w:rsidR="00F56461">
        <w:rPr>
          <w:rFonts w:eastAsia="Calibri" w:cs="Times New Roman"/>
        </w:rPr>
        <w:t>-</w:t>
      </w:r>
      <w:r w:rsidR="00042E8C">
        <w:rPr>
          <w:rFonts w:eastAsia="Calibri" w:cs="Times New Roman"/>
        </w:rPr>
        <w:t>educated</w:t>
      </w:r>
      <w:r w:rsidR="00F56461">
        <w:rPr>
          <w:rFonts w:eastAsia="Calibri" w:cs="Times New Roman"/>
        </w:rPr>
        <w:t xml:space="preserve"> labor</w:t>
      </w:r>
      <w:r w:rsidR="00042E8C">
        <w:rPr>
          <w:rFonts w:eastAsia="Calibri" w:cs="Times New Roman"/>
        </w:rPr>
        <w:t xml:space="preserve"> in th</w:t>
      </w:r>
      <w:r w:rsidR="00F56461">
        <w:rPr>
          <w:rFonts w:eastAsia="Calibri" w:cs="Times New Roman"/>
        </w:rPr>
        <w:t>os</w:t>
      </w:r>
      <w:r w:rsidR="00042E8C">
        <w:rPr>
          <w:rFonts w:eastAsia="Calibri" w:cs="Times New Roman"/>
        </w:rPr>
        <w:t>e state</w:t>
      </w:r>
      <w:r w:rsidR="00F56461">
        <w:rPr>
          <w:rFonts w:eastAsia="Calibri" w:cs="Times New Roman"/>
        </w:rPr>
        <w:t>s</w:t>
      </w:r>
      <w:r w:rsidR="005046C9">
        <w:rPr>
          <w:rFonts w:eastAsia="Calibri" w:cs="Times New Roman"/>
        </w:rPr>
        <w:t xml:space="preserve">. </w:t>
      </w:r>
      <w:r w:rsidR="00940EF6">
        <w:rPr>
          <w:rFonts w:eastAsia="Calibri" w:cs="Times New Roman"/>
        </w:rPr>
        <w:t xml:space="preserve">In this </w:t>
      </w:r>
      <w:r w:rsidR="00B07AC0">
        <w:rPr>
          <w:rFonts w:eastAsia="Calibri" w:cs="Times New Roman"/>
        </w:rPr>
        <w:t xml:space="preserve">paper </w:t>
      </w:r>
      <w:r w:rsidR="00511427">
        <w:rPr>
          <w:rFonts w:eastAsia="Calibri" w:cs="Times New Roman"/>
        </w:rPr>
        <w:t xml:space="preserve">we consider the effect of Georgia’s HOPE Scholarship program on post-college retention, estimating the effect in two ways. First, we </w:t>
      </w:r>
      <w:r w:rsidR="00B07AC0">
        <w:rPr>
          <w:rFonts w:eastAsia="Calibri" w:cs="Times New Roman"/>
        </w:rPr>
        <w:t xml:space="preserve">use administrative data on student and employment records to examine the effects of the HOPE Scholarship on </w:t>
      </w:r>
      <w:r w:rsidR="00363AD4">
        <w:rPr>
          <w:rFonts w:eastAsia="Calibri" w:cs="Times New Roman"/>
        </w:rPr>
        <w:t>post-college</w:t>
      </w:r>
      <w:r w:rsidR="00B07AC0">
        <w:rPr>
          <w:rFonts w:eastAsia="Calibri" w:cs="Times New Roman"/>
        </w:rPr>
        <w:t xml:space="preserve"> retention rates </w:t>
      </w:r>
      <w:r w:rsidR="00F56461">
        <w:rPr>
          <w:rFonts w:eastAsia="Calibri" w:cs="Times New Roman"/>
        </w:rPr>
        <w:t xml:space="preserve">in the Georgia workforce </w:t>
      </w:r>
      <w:r w:rsidR="00B07AC0">
        <w:rPr>
          <w:rFonts w:eastAsia="Calibri" w:cs="Times New Roman"/>
        </w:rPr>
        <w:t>for students enrolled in the University System of Georgia (USG)</w:t>
      </w:r>
      <w:r w:rsidR="005046C9">
        <w:rPr>
          <w:rFonts w:eastAsia="Calibri" w:cs="Times New Roman"/>
        </w:rPr>
        <w:t xml:space="preserve">. </w:t>
      </w:r>
      <w:r w:rsidR="00511427">
        <w:rPr>
          <w:rFonts w:eastAsia="Calibri" w:cs="Times New Roman"/>
        </w:rPr>
        <w:t>Second, we use data from the census and ACS and a difference-in-difference model following the approach of Hickman (2009).</w:t>
      </w:r>
      <w:r w:rsidR="00567F46">
        <w:rPr>
          <w:rFonts w:eastAsia="Calibri" w:cs="Times New Roman"/>
        </w:rPr>
        <w:t xml:space="preserve"> </w:t>
      </w:r>
      <w:r w:rsidR="00B07AC0">
        <w:rPr>
          <w:rFonts w:cs="Times New Roman"/>
          <w:szCs w:val="24"/>
        </w:rPr>
        <w:t xml:space="preserve"> </w:t>
      </w:r>
    </w:p>
    <w:p w:rsidR="00D45C29" w:rsidRDefault="00D45C29" w:rsidP="004663EC">
      <w:pPr>
        <w:spacing w:after="0" w:line="480" w:lineRule="auto"/>
        <w:rPr>
          <w:rFonts w:cs="Times New Roman"/>
          <w:b/>
          <w:szCs w:val="24"/>
        </w:rPr>
      </w:pPr>
    </w:p>
    <w:p w:rsidR="00D11F9F" w:rsidRDefault="00D11F9F" w:rsidP="00D11F9F">
      <w:r>
        <w:t>JEL Codes: I23, J24</w:t>
      </w:r>
      <w:r w:rsidR="00485887">
        <w:t>, R23</w:t>
      </w:r>
    </w:p>
    <w:p w:rsidR="00D11F9F" w:rsidRPr="00D11F9F" w:rsidRDefault="00D11F9F" w:rsidP="004663EC">
      <w:pPr>
        <w:spacing w:after="0" w:line="480" w:lineRule="auto"/>
        <w:rPr>
          <w:rFonts w:cs="Times New Roman"/>
          <w:szCs w:val="24"/>
        </w:rPr>
      </w:pPr>
      <w:r w:rsidRPr="00D11F9F">
        <w:rPr>
          <w:rFonts w:cs="Times New Roman"/>
          <w:szCs w:val="24"/>
        </w:rPr>
        <w:t>Keywords: HOPE; merit aid; employment; retention</w:t>
      </w:r>
      <w:r>
        <w:rPr>
          <w:rFonts w:cs="Times New Roman"/>
          <w:szCs w:val="24"/>
        </w:rPr>
        <w:t>; brain drain</w:t>
      </w:r>
    </w:p>
    <w:p w:rsidR="00020E56" w:rsidRPr="00020E56" w:rsidRDefault="00020E56" w:rsidP="00020E56">
      <w:pPr>
        <w:spacing w:line="276" w:lineRule="auto"/>
        <w:contextualSpacing w:val="0"/>
        <w:rPr>
          <w:rFonts w:cs="Times New Roman"/>
          <w:szCs w:val="24"/>
        </w:rPr>
      </w:pPr>
      <w:r w:rsidRPr="00020E56">
        <w:rPr>
          <w:rFonts w:cs="Times New Roman"/>
          <w:szCs w:val="24"/>
        </w:rPr>
        <w:t>We thank Rob Watts from the Georgia Board of Regents and David Lee from the Georgia Student Finance Commission for their assistance in providing data, Lakshmi Pandey for technical assistance, and Barry Hirsch</w:t>
      </w:r>
      <w:r w:rsidR="00D966CB">
        <w:rPr>
          <w:rFonts w:cs="Times New Roman"/>
          <w:szCs w:val="24"/>
        </w:rPr>
        <w:t xml:space="preserve">, </w:t>
      </w:r>
      <w:proofErr w:type="spellStart"/>
      <w:r w:rsidR="00D966CB">
        <w:rPr>
          <w:rFonts w:cs="Times New Roman"/>
          <w:szCs w:val="24"/>
        </w:rPr>
        <w:t>Youngok</w:t>
      </w:r>
      <w:proofErr w:type="spellEnd"/>
      <w:r w:rsidR="00D966CB">
        <w:rPr>
          <w:rFonts w:cs="Times New Roman"/>
          <w:szCs w:val="24"/>
        </w:rPr>
        <w:t xml:space="preserve"> Lim</w:t>
      </w:r>
      <w:r w:rsidR="007B37D4">
        <w:rPr>
          <w:rFonts w:cs="Times New Roman"/>
          <w:szCs w:val="24"/>
        </w:rPr>
        <w:t>,</w:t>
      </w:r>
      <w:r w:rsidR="00D966CB">
        <w:rPr>
          <w:rFonts w:cs="Times New Roman"/>
          <w:szCs w:val="24"/>
        </w:rPr>
        <w:t xml:space="preserve"> Christopher Taber</w:t>
      </w:r>
      <w:r w:rsidR="007B37D4">
        <w:rPr>
          <w:rFonts w:cs="Times New Roman"/>
          <w:szCs w:val="24"/>
        </w:rPr>
        <w:t>, and two anonymous referees</w:t>
      </w:r>
      <w:r w:rsidRPr="00020E56">
        <w:rPr>
          <w:rFonts w:cs="Times New Roman"/>
          <w:szCs w:val="24"/>
        </w:rPr>
        <w:t xml:space="preserve"> for helpful comments.</w:t>
      </w:r>
      <w:r w:rsidR="00567F46">
        <w:rPr>
          <w:rFonts w:cs="Times New Roman"/>
          <w:szCs w:val="24"/>
        </w:rPr>
        <w:t xml:space="preserve"> </w:t>
      </w:r>
      <w:r w:rsidR="00632ECD">
        <w:rPr>
          <w:rFonts w:cs="Times New Roman"/>
          <w:szCs w:val="24"/>
        </w:rPr>
        <w:t xml:space="preserve">John Winters thanks the Charles Phelps Taft Research Center for financial support. </w:t>
      </w:r>
      <w:r w:rsidR="00FC167D" w:rsidRPr="00FC167D">
        <w:rPr>
          <w:rFonts w:cs="Times New Roman"/>
          <w:szCs w:val="24"/>
        </w:rPr>
        <w:t>The data used in this article are proprietary and cannot be made publicly available.</w:t>
      </w:r>
      <w:r w:rsidR="007B37D4">
        <w:rPr>
          <w:rFonts w:cs="Times New Roman"/>
          <w:szCs w:val="24"/>
        </w:rPr>
        <w:t xml:space="preserve">  Researchers interested in acquiring the data should contact the Georgia Board of Regents.</w:t>
      </w:r>
      <w:r w:rsidRPr="00020E56">
        <w:rPr>
          <w:rFonts w:cs="Times New Roman"/>
          <w:szCs w:val="24"/>
        </w:rPr>
        <w:br w:type="page"/>
      </w:r>
    </w:p>
    <w:p w:rsidR="004663EC" w:rsidRPr="007E580A" w:rsidRDefault="007E580A" w:rsidP="007E580A">
      <w:pPr>
        <w:spacing w:after="0" w:line="480" w:lineRule="auto"/>
        <w:rPr>
          <w:rFonts w:cs="Times New Roman"/>
          <w:b/>
        </w:rPr>
      </w:pPr>
      <w:r>
        <w:rPr>
          <w:rFonts w:cs="Times New Roman"/>
          <w:b/>
        </w:rPr>
        <w:lastRenderedPageBreak/>
        <w:t xml:space="preserve">I. </w:t>
      </w:r>
      <w:r w:rsidR="004663EC" w:rsidRPr="007E580A">
        <w:rPr>
          <w:rFonts w:cs="Times New Roman"/>
          <w:b/>
        </w:rPr>
        <w:t>Introduction</w:t>
      </w:r>
    </w:p>
    <w:p w:rsidR="000F23DA" w:rsidRPr="002B6561" w:rsidRDefault="004663EC" w:rsidP="00883E37">
      <w:pPr>
        <w:spacing w:line="480" w:lineRule="auto"/>
        <w:ind w:firstLine="720"/>
        <w:rPr>
          <w:rFonts w:cs="Times New Roman"/>
        </w:rPr>
      </w:pPr>
      <w:r w:rsidRPr="002B6561">
        <w:rPr>
          <w:rFonts w:cs="Times New Roman"/>
          <w:szCs w:val="24"/>
        </w:rPr>
        <w:t>In 1993</w:t>
      </w:r>
      <w:r w:rsidR="00926B4D" w:rsidRPr="002B6561">
        <w:rPr>
          <w:rFonts w:cs="Times New Roman"/>
          <w:szCs w:val="24"/>
        </w:rPr>
        <w:t>,</w:t>
      </w:r>
      <w:r w:rsidRPr="002B6561">
        <w:rPr>
          <w:rFonts w:cs="Times New Roman"/>
          <w:szCs w:val="24"/>
        </w:rPr>
        <w:t xml:space="preserve"> the state of Georgia launched its HOPE Scholarship program to provide </w:t>
      </w:r>
      <w:r w:rsidR="00571DC6">
        <w:rPr>
          <w:rFonts w:cs="Times New Roman"/>
          <w:szCs w:val="24"/>
        </w:rPr>
        <w:t xml:space="preserve">merit-based </w:t>
      </w:r>
      <w:r w:rsidRPr="002B6561">
        <w:rPr>
          <w:rFonts w:cs="Times New Roman"/>
          <w:szCs w:val="24"/>
        </w:rPr>
        <w:t xml:space="preserve">financial aid for students pursuing </w:t>
      </w:r>
      <w:r w:rsidR="008E7F6E" w:rsidRPr="002B6561">
        <w:rPr>
          <w:rFonts w:cs="Times New Roman"/>
          <w:szCs w:val="24"/>
        </w:rPr>
        <w:t xml:space="preserve">a </w:t>
      </w:r>
      <w:r w:rsidRPr="002B6561">
        <w:rPr>
          <w:rFonts w:cs="Times New Roman"/>
          <w:szCs w:val="24"/>
        </w:rPr>
        <w:t>postsecondary</w:t>
      </w:r>
      <w:r w:rsidR="008E7F6E" w:rsidRPr="002B6561">
        <w:rPr>
          <w:rFonts w:cs="Times New Roman"/>
          <w:szCs w:val="24"/>
        </w:rPr>
        <w:t xml:space="preserve"> academic</w:t>
      </w:r>
      <w:r w:rsidR="00926B4D" w:rsidRPr="002B6561">
        <w:rPr>
          <w:rFonts w:cs="Times New Roman"/>
          <w:szCs w:val="24"/>
        </w:rPr>
        <w:t xml:space="preserve"> </w:t>
      </w:r>
      <w:r w:rsidR="008E7F6E" w:rsidRPr="002B6561">
        <w:rPr>
          <w:rFonts w:cs="Times New Roman"/>
          <w:szCs w:val="24"/>
        </w:rPr>
        <w:t>degree</w:t>
      </w:r>
      <w:r w:rsidRPr="002B6561">
        <w:rPr>
          <w:rFonts w:cs="Times New Roman"/>
          <w:szCs w:val="24"/>
        </w:rPr>
        <w:t>.</w:t>
      </w:r>
      <w:r w:rsidR="008E7F6E" w:rsidRPr="002B6561">
        <w:rPr>
          <w:rStyle w:val="FootnoteReference"/>
          <w:rFonts w:cs="Times New Roman"/>
          <w:szCs w:val="24"/>
        </w:rPr>
        <w:footnoteReference w:id="1"/>
      </w:r>
      <w:r w:rsidR="00926B4D" w:rsidRPr="002B6561">
        <w:rPr>
          <w:rFonts w:cs="Times New Roman"/>
          <w:szCs w:val="24"/>
        </w:rPr>
        <w:t xml:space="preserve"> </w:t>
      </w:r>
      <w:r w:rsidR="00C10AF5" w:rsidRPr="002B6561">
        <w:rPr>
          <w:rFonts w:eastAsia="Calibri" w:cs="Times New Roman"/>
        </w:rPr>
        <w:t>The HOPE Scholarship program is in many ways the model for other broad-based merit aid programs that have been introduced in a number of states since the early 1990s</w:t>
      </w:r>
      <w:r w:rsidR="005046C9">
        <w:rPr>
          <w:rFonts w:eastAsia="Calibri" w:cs="Times New Roman"/>
        </w:rPr>
        <w:t xml:space="preserve">. </w:t>
      </w:r>
      <w:r w:rsidR="00571DC6">
        <w:rPr>
          <w:rFonts w:eastAsia="Calibri" w:cs="Times New Roman"/>
        </w:rPr>
        <w:t>S</w:t>
      </w:r>
      <w:r w:rsidR="00906762">
        <w:rPr>
          <w:rFonts w:eastAsia="Calibri" w:cs="Times New Roman"/>
        </w:rPr>
        <w:t xml:space="preserve">everal objectives </w:t>
      </w:r>
      <w:r w:rsidR="00571DC6">
        <w:rPr>
          <w:rFonts w:eastAsia="Calibri" w:cs="Times New Roman"/>
        </w:rPr>
        <w:t>have been</w:t>
      </w:r>
      <w:r w:rsidR="00906762">
        <w:rPr>
          <w:rFonts w:eastAsia="Calibri" w:cs="Times New Roman"/>
        </w:rPr>
        <w:t xml:space="preserve"> enumerated</w:t>
      </w:r>
      <w:r w:rsidR="00571DC6">
        <w:rPr>
          <w:rFonts w:eastAsia="Calibri" w:cs="Times New Roman"/>
        </w:rPr>
        <w:t xml:space="preserve"> for these merit-based financial aid programs</w:t>
      </w:r>
      <w:r w:rsidR="00906762">
        <w:rPr>
          <w:rFonts w:eastAsia="Calibri" w:cs="Times New Roman"/>
        </w:rPr>
        <w:t xml:space="preserve"> in</w:t>
      </w:r>
      <w:r w:rsidR="002C2A2F">
        <w:rPr>
          <w:rFonts w:eastAsia="Calibri" w:cs="Times New Roman"/>
        </w:rPr>
        <w:t>cluding</w:t>
      </w:r>
      <w:r w:rsidR="00906762">
        <w:rPr>
          <w:rFonts w:eastAsia="Calibri" w:cs="Times New Roman"/>
        </w:rPr>
        <w:t>:</w:t>
      </w:r>
      <w:r w:rsidR="002C2A2F">
        <w:rPr>
          <w:rFonts w:cs="Times New Roman"/>
        </w:rPr>
        <w:t xml:space="preserve"> i</w:t>
      </w:r>
      <w:r w:rsidR="000F23DA" w:rsidRPr="002B6561">
        <w:rPr>
          <w:rFonts w:cs="Times New Roman"/>
        </w:rPr>
        <w:t>ncreas</w:t>
      </w:r>
      <w:r w:rsidR="002C2A2F">
        <w:rPr>
          <w:rFonts w:cs="Times New Roman"/>
        </w:rPr>
        <w:t>ing</w:t>
      </w:r>
      <w:r w:rsidR="000F23DA" w:rsidRPr="002B6561">
        <w:rPr>
          <w:rFonts w:cs="Times New Roman"/>
        </w:rPr>
        <w:t xml:space="preserve"> academic achievement</w:t>
      </w:r>
      <w:r w:rsidR="002C2A2F">
        <w:rPr>
          <w:rFonts w:cs="Times New Roman"/>
        </w:rPr>
        <w:t>; i</w:t>
      </w:r>
      <w:r w:rsidR="000F23DA" w:rsidRPr="002B6561">
        <w:rPr>
          <w:rFonts w:cs="Times New Roman"/>
        </w:rPr>
        <w:t>ncreas</w:t>
      </w:r>
      <w:r w:rsidR="002C2A2F">
        <w:rPr>
          <w:rFonts w:cs="Times New Roman"/>
        </w:rPr>
        <w:t>ing</w:t>
      </w:r>
      <w:r w:rsidR="000F23DA" w:rsidRPr="002B6561">
        <w:rPr>
          <w:rFonts w:cs="Times New Roman"/>
        </w:rPr>
        <w:t xml:space="preserve"> the percentage of high school students who attend college</w:t>
      </w:r>
      <w:r w:rsidR="002C2A2F">
        <w:rPr>
          <w:rFonts w:cs="Times New Roman"/>
        </w:rPr>
        <w:t>;</w:t>
      </w:r>
      <w:r w:rsidR="002C2A2F" w:rsidDel="002C2A2F">
        <w:rPr>
          <w:rFonts w:cs="Times New Roman"/>
        </w:rPr>
        <w:t xml:space="preserve"> </w:t>
      </w:r>
      <w:r w:rsidR="002C2A2F">
        <w:rPr>
          <w:rFonts w:cs="Times New Roman"/>
        </w:rPr>
        <w:t>i</w:t>
      </w:r>
      <w:r w:rsidR="000F23DA" w:rsidRPr="00906762">
        <w:rPr>
          <w:rFonts w:cs="Times New Roman"/>
        </w:rPr>
        <w:t>ncreas</w:t>
      </w:r>
      <w:r w:rsidR="002C2A2F">
        <w:rPr>
          <w:rFonts w:cs="Times New Roman"/>
        </w:rPr>
        <w:t>ing</w:t>
      </w:r>
      <w:r w:rsidR="000F23DA" w:rsidRPr="00906762">
        <w:rPr>
          <w:rFonts w:cs="Times New Roman"/>
        </w:rPr>
        <w:t xml:space="preserve"> the percentage of the “best and brightest” students who stay in</w:t>
      </w:r>
      <w:r w:rsidR="00571DC6">
        <w:rPr>
          <w:rFonts w:cs="Times New Roman"/>
        </w:rPr>
        <w:t>-state</w:t>
      </w:r>
      <w:r w:rsidR="000F23DA" w:rsidRPr="00906762">
        <w:rPr>
          <w:rFonts w:cs="Times New Roman"/>
        </w:rPr>
        <w:t xml:space="preserve"> to go to college</w:t>
      </w:r>
      <w:r w:rsidR="002C2A2F">
        <w:rPr>
          <w:rFonts w:cs="Times New Roman"/>
        </w:rPr>
        <w:t>; and i</w:t>
      </w:r>
      <w:r w:rsidR="000F23DA" w:rsidRPr="002B6561">
        <w:rPr>
          <w:rFonts w:cs="Times New Roman"/>
        </w:rPr>
        <w:t>ncreas</w:t>
      </w:r>
      <w:r w:rsidR="00F91CA1">
        <w:rPr>
          <w:rFonts w:cs="Times New Roman"/>
        </w:rPr>
        <w:t>ing</w:t>
      </w:r>
      <w:r w:rsidR="000F23DA" w:rsidRPr="002B6561">
        <w:rPr>
          <w:rFonts w:cs="Times New Roman"/>
        </w:rPr>
        <w:t xml:space="preserve"> the quality of </w:t>
      </w:r>
      <w:r w:rsidR="00571DC6">
        <w:rPr>
          <w:rFonts w:cs="Times New Roman"/>
        </w:rPr>
        <w:t>the workforce</w:t>
      </w:r>
      <w:r w:rsidR="006B3812">
        <w:rPr>
          <w:rFonts w:cs="Times New Roman"/>
        </w:rPr>
        <w:t>, in part by</w:t>
      </w:r>
      <w:r w:rsidR="00571DC6">
        <w:rPr>
          <w:rFonts w:cs="Times New Roman"/>
        </w:rPr>
        <w:t xml:space="preserve"> retaining the</w:t>
      </w:r>
      <w:r w:rsidR="007020F3" w:rsidRPr="002B6561">
        <w:rPr>
          <w:rFonts w:cs="Times New Roman"/>
        </w:rPr>
        <w:t xml:space="preserve"> </w:t>
      </w:r>
      <w:r w:rsidR="006B3812">
        <w:rPr>
          <w:rFonts w:cs="Times New Roman"/>
        </w:rPr>
        <w:t>“</w:t>
      </w:r>
      <w:r w:rsidR="007020F3" w:rsidRPr="002B6561">
        <w:rPr>
          <w:rFonts w:cs="Times New Roman"/>
        </w:rPr>
        <w:t>best and the brightest</w:t>
      </w:r>
      <w:r w:rsidR="006B3812">
        <w:rPr>
          <w:rFonts w:cs="Times New Roman"/>
        </w:rPr>
        <w:t>”</w:t>
      </w:r>
      <w:r w:rsidR="00571DC6">
        <w:rPr>
          <w:rFonts w:cs="Times New Roman"/>
        </w:rPr>
        <w:t xml:space="preserve"> after they</w:t>
      </w:r>
      <w:r w:rsidR="000F23DA" w:rsidRPr="002B6561">
        <w:rPr>
          <w:rFonts w:cs="Times New Roman"/>
        </w:rPr>
        <w:t xml:space="preserve"> graduate from college. </w:t>
      </w:r>
    </w:p>
    <w:p w:rsidR="00926B4D" w:rsidRDefault="006B3812" w:rsidP="00883E37">
      <w:pPr>
        <w:spacing w:line="480" w:lineRule="auto"/>
        <w:ind w:firstLine="720"/>
      </w:pPr>
      <w:r>
        <w:rPr>
          <w:rFonts w:eastAsia="Calibri" w:cs="Times New Roman"/>
        </w:rPr>
        <w:t>S</w:t>
      </w:r>
      <w:r w:rsidR="00901E63">
        <w:rPr>
          <w:rFonts w:eastAsia="Calibri" w:cs="Times New Roman"/>
        </w:rPr>
        <w:t xml:space="preserve">everal studies </w:t>
      </w:r>
      <w:r w:rsidR="00571DC6">
        <w:rPr>
          <w:rFonts w:eastAsia="Calibri" w:cs="Times New Roman"/>
        </w:rPr>
        <w:t>have investigated how HOPE and</w:t>
      </w:r>
      <w:r w:rsidR="00901E63">
        <w:rPr>
          <w:rFonts w:eastAsia="Calibri" w:cs="Times New Roman"/>
        </w:rPr>
        <w:t xml:space="preserve"> similar merit-based aid programs affect </w:t>
      </w:r>
      <w:r w:rsidR="00DF00F6">
        <w:rPr>
          <w:rFonts w:eastAsia="Calibri" w:cs="Times New Roman"/>
        </w:rPr>
        <w:t xml:space="preserve">many of </w:t>
      </w:r>
      <w:r>
        <w:rPr>
          <w:rFonts w:eastAsia="Calibri" w:cs="Times New Roman"/>
        </w:rPr>
        <w:t xml:space="preserve">the </w:t>
      </w:r>
      <w:r w:rsidR="00901E63">
        <w:rPr>
          <w:rFonts w:eastAsia="Calibri" w:cs="Times New Roman"/>
        </w:rPr>
        <w:t>outcomes associated with these objectives</w:t>
      </w:r>
      <w:r w:rsidR="005046C9">
        <w:rPr>
          <w:rFonts w:eastAsia="Calibri" w:cs="Times New Roman"/>
        </w:rPr>
        <w:t xml:space="preserve">. </w:t>
      </w:r>
      <w:r w:rsidR="00906762">
        <w:rPr>
          <w:rFonts w:eastAsia="Calibri" w:cs="Times New Roman"/>
        </w:rPr>
        <w:t>For example, t</w:t>
      </w:r>
      <w:r w:rsidR="00906762">
        <w:t>reating the adoption of HOPE as a natural ex</w:t>
      </w:r>
      <w:r w:rsidR="00807CC6">
        <w:t xml:space="preserve">periment, </w:t>
      </w:r>
      <w:r w:rsidR="00906762">
        <w:t>Dynarski (2000, 2002, 2004, 2008) and Cornwell</w:t>
      </w:r>
      <w:r w:rsidR="00C75571">
        <w:t xml:space="preserve"> et al.</w:t>
      </w:r>
      <w:r w:rsidR="00906762">
        <w:t xml:space="preserve"> (2006) show that HOPE increased the probability of enrollment, </w:t>
      </w:r>
      <w:r>
        <w:t xml:space="preserve">rate of </w:t>
      </w:r>
      <w:r w:rsidR="00906762">
        <w:t xml:space="preserve">degree completion, and the </w:t>
      </w:r>
      <w:r w:rsidR="00571DC6">
        <w:t xml:space="preserve">percentage of </w:t>
      </w:r>
      <w:r w:rsidR="00906762">
        <w:t xml:space="preserve">the </w:t>
      </w:r>
      <w:r>
        <w:t>“</w:t>
      </w:r>
      <w:r w:rsidR="00906762">
        <w:t>best and brightest</w:t>
      </w:r>
      <w:r>
        <w:t>”</w:t>
      </w:r>
      <w:r w:rsidR="00571DC6">
        <w:t xml:space="preserve"> who go to college in-state</w:t>
      </w:r>
      <w:r w:rsidR="00906762">
        <w:t>.</w:t>
      </w:r>
      <w:r w:rsidR="00906762">
        <w:rPr>
          <w:rStyle w:val="FootnoteReference"/>
        </w:rPr>
        <w:footnoteReference w:id="2"/>
      </w:r>
      <w:r w:rsidR="00567F46">
        <w:t xml:space="preserve"> </w:t>
      </w:r>
      <w:r w:rsidR="00906762">
        <w:rPr>
          <w:rFonts w:eastAsia="Calibri" w:cs="Times New Roman"/>
        </w:rPr>
        <w:t>Sjoquist and Walker (2010) review the broader literature</w:t>
      </w:r>
      <w:r w:rsidR="005046C9">
        <w:rPr>
          <w:rFonts w:eastAsia="Calibri" w:cs="Times New Roman"/>
        </w:rPr>
        <w:t xml:space="preserve">. </w:t>
      </w:r>
      <w:r w:rsidR="003524F7">
        <w:rPr>
          <w:rFonts w:eastAsia="Calibri" w:cs="Times New Roman"/>
        </w:rPr>
        <w:t>This paper contributes to this literature by considering the effect of HOPE on another outcome</w:t>
      </w:r>
      <w:r w:rsidR="0039533C">
        <w:rPr>
          <w:rFonts w:eastAsia="Calibri" w:cs="Times New Roman"/>
        </w:rPr>
        <w:t xml:space="preserve">; </w:t>
      </w:r>
      <w:r w:rsidR="003524F7">
        <w:rPr>
          <w:rFonts w:eastAsia="Calibri" w:cs="Times New Roman"/>
        </w:rPr>
        <w:t xml:space="preserve">in particular we examine </w:t>
      </w:r>
      <w:r w:rsidR="00926B4D">
        <w:rPr>
          <w:rFonts w:eastAsia="Calibri" w:cs="Times New Roman"/>
        </w:rPr>
        <w:t xml:space="preserve">the effect of the HOPE Scholarship </w:t>
      </w:r>
      <w:r>
        <w:rPr>
          <w:rFonts w:eastAsia="Calibri" w:cs="Times New Roman"/>
        </w:rPr>
        <w:t xml:space="preserve">program </w:t>
      </w:r>
      <w:r w:rsidR="00926B4D">
        <w:rPr>
          <w:rFonts w:eastAsia="Calibri" w:cs="Times New Roman"/>
        </w:rPr>
        <w:t xml:space="preserve">on </w:t>
      </w:r>
      <w:r w:rsidR="00363AD4">
        <w:rPr>
          <w:rFonts w:eastAsia="Calibri" w:cs="Times New Roman"/>
        </w:rPr>
        <w:t>post-college</w:t>
      </w:r>
      <w:r w:rsidR="00926B4D">
        <w:rPr>
          <w:rFonts w:eastAsia="Calibri" w:cs="Times New Roman"/>
        </w:rPr>
        <w:t xml:space="preserve"> retention in Georgia</w:t>
      </w:r>
      <w:r w:rsidR="00A4038A">
        <w:rPr>
          <w:rFonts w:eastAsia="Calibri" w:cs="Times New Roman"/>
        </w:rPr>
        <w:t xml:space="preserve"> using two alternative approaches</w:t>
      </w:r>
      <w:r w:rsidR="0050112A">
        <w:rPr>
          <w:rFonts w:eastAsia="Calibri" w:cs="Times New Roman"/>
        </w:rPr>
        <w:t>.</w:t>
      </w:r>
      <w:r w:rsidR="00567F46">
        <w:rPr>
          <w:rFonts w:eastAsia="Calibri" w:cs="Times New Roman"/>
        </w:rPr>
        <w:t xml:space="preserve"> </w:t>
      </w:r>
      <w:r w:rsidR="008D6309">
        <w:rPr>
          <w:rFonts w:eastAsia="Calibri" w:cs="Times New Roman"/>
        </w:rPr>
        <w:t>For o</w:t>
      </w:r>
      <w:r w:rsidR="0050112A">
        <w:rPr>
          <w:rFonts w:eastAsia="Calibri" w:cs="Times New Roman"/>
        </w:rPr>
        <w:t xml:space="preserve">ur </w:t>
      </w:r>
      <w:r w:rsidR="00A4038A">
        <w:rPr>
          <w:rFonts w:eastAsia="Calibri" w:cs="Times New Roman"/>
        </w:rPr>
        <w:t xml:space="preserve">first and </w:t>
      </w:r>
      <w:r w:rsidR="0050112A">
        <w:rPr>
          <w:rFonts w:eastAsia="Calibri" w:cs="Times New Roman"/>
        </w:rPr>
        <w:t xml:space="preserve">primary </w:t>
      </w:r>
      <w:r w:rsidR="008D6309">
        <w:rPr>
          <w:rFonts w:eastAsia="Calibri" w:cs="Times New Roman"/>
        </w:rPr>
        <w:t>a</w:t>
      </w:r>
      <w:r w:rsidR="00A4038A">
        <w:rPr>
          <w:rFonts w:eastAsia="Calibri" w:cs="Times New Roman"/>
        </w:rPr>
        <w:t>pproach</w:t>
      </w:r>
      <w:r w:rsidR="008D6309">
        <w:rPr>
          <w:rFonts w:eastAsia="Calibri" w:cs="Times New Roman"/>
        </w:rPr>
        <w:t xml:space="preserve"> we define treatment as having received a HOPE Scholarship and </w:t>
      </w:r>
      <w:r w:rsidR="0050112A">
        <w:rPr>
          <w:rFonts w:eastAsia="Calibri" w:cs="Times New Roman"/>
        </w:rPr>
        <w:t>use administrative records to measure the effect on post-college retention in Georgia’s</w:t>
      </w:r>
      <w:r w:rsidR="00926B4D">
        <w:rPr>
          <w:rFonts w:eastAsia="Calibri" w:cs="Times New Roman"/>
        </w:rPr>
        <w:t xml:space="preserve"> workforce for students enrolled in public colleges and universities in Georgia</w:t>
      </w:r>
      <w:r w:rsidR="005046C9">
        <w:rPr>
          <w:rFonts w:eastAsia="Calibri" w:cs="Times New Roman"/>
        </w:rPr>
        <w:t xml:space="preserve">. </w:t>
      </w:r>
      <w:r w:rsidR="008D6309">
        <w:rPr>
          <w:rFonts w:eastAsia="Calibri" w:cs="Times New Roman"/>
        </w:rPr>
        <w:t xml:space="preserve">For our second </w:t>
      </w:r>
      <w:r w:rsidR="00A4038A">
        <w:rPr>
          <w:rFonts w:eastAsia="Calibri" w:cs="Times New Roman"/>
        </w:rPr>
        <w:t>approach</w:t>
      </w:r>
      <w:r w:rsidR="008D6309">
        <w:rPr>
          <w:rFonts w:eastAsia="Calibri" w:cs="Times New Roman"/>
        </w:rPr>
        <w:t xml:space="preserve">, we define treatment as having graduated from high school when HOPE was available and </w:t>
      </w:r>
      <w:r w:rsidR="0050112A">
        <w:rPr>
          <w:rFonts w:eastAsia="Calibri" w:cs="Times New Roman"/>
        </w:rPr>
        <w:t xml:space="preserve">rely on </w:t>
      </w:r>
      <w:r w:rsidR="0050112A">
        <w:rPr>
          <w:rFonts w:eastAsia="Calibri" w:cs="Times New Roman"/>
        </w:rPr>
        <w:lastRenderedPageBreak/>
        <w:t xml:space="preserve">census and American Community Survey data to measure the effect of HOPE on living in Georgia </w:t>
      </w:r>
      <w:proofErr w:type="gramStart"/>
      <w:r w:rsidR="0050112A">
        <w:rPr>
          <w:rFonts w:eastAsia="Calibri" w:cs="Times New Roman"/>
        </w:rPr>
        <w:t>post college</w:t>
      </w:r>
      <w:proofErr w:type="gramEnd"/>
      <w:r w:rsidR="0050112A">
        <w:rPr>
          <w:rFonts w:eastAsia="Calibri" w:cs="Times New Roman"/>
        </w:rPr>
        <w:t xml:space="preserve"> using </w:t>
      </w:r>
      <w:r w:rsidR="00A4038A">
        <w:rPr>
          <w:rFonts w:eastAsia="Calibri" w:cs="Times New Roman"/>
        </w:rPr>
        <w:t xml:space="preserve">a methodology </w:t>
      </w:r>
      <w:r w:rsidR="0050112A">
        <w:rPr>
          <w:rFonts w:eastAsia="Calibri" w:cs="Times New Roman"/>
        </w:rPr>
        <w:t>similar to Hickman (2009).</w:t>
      </w:r>
    </w:p>
    <w:p w:rsidR="0000019D" w:rsidRPr="00C971BD" w:rsidRDefault="0039533C" w:rsidP="0000019D">
      <w:pPr>
        <w:autoSpaceDE w:val="0"/>
        <w:autoSpaceDN w:val="0"/>
        <w:adjustRightInd w:val="0"/>
        <w:spacing w:line="480" w:lineRule="auto"/>
        <w:ind w:firstLine="720"/>
        <w:rPr>
          <w:rFonts w:cs="Times New Roman"/>
        </w:rPr>
      </w:pPr>
      <w:r>
        <w:t xml:space="preserve">Our paper also relates to the </w:t>
      </w:r>
      <w:r w:rsidR="00485B1A">
        <w:t>interest in understanding the effect of college on interstate mobility</w:t>
      </w:r>
      <w:r w:rsidR="005046C9">
        <w:t xml:space="preserve">. </w:t>
      </w:r>
      <w:r w:rsidR="00F34BDB">
        <w:t>Studies have shown that in general s</w:t>
      </w:r>
      <w:r w:rsidR="00F34BDB" w:rsidRPr="00741452">
        <w:t xml:space="preserve">tudents are more likely to live in the state in which they </w:t>
      </w:r>
      <w:r w:rsidR="00453C04">
        <w:t>attend</w:t>
      </w:r>
      <w:r w:rsidR="00F34BDB">
        <w:t xml:space="preserve"> college</w:t>
      </w:r>
      <w:r w:rsidR="002C2A2F">
        <w:t xml:space="preserve"> (Perry 2001)</w:t>
      </w:r>
      <w:r w:rsidR="00F34BDB" w:rsidRPr="00741452">
        <w:t>.</w:t>
      </w:r>
      <w:r w:rsidR="00627F68">
        <w:rPr>
          <w:rStyle w:val="FootnoteReference"/>
        </w:rPr>
        <w:footnoteReference w:id="3"/>
      </w:r>
      <w:r w:rsidR="00F34BDB" w:rsidRPr="00741452">
        <w:t xml:space="preserve"> </w:t>
      </w:r>
      <w:r w:rsidR="00CD5FC3">
        <w:t>However, b</w:t>
      </w:r>
      <w:r w:rsidR="005D1FE0">
        <w:t xml:space="preserve">ecause </w:t>
      </w:r>
      <w:r w:rsidR="0000019D">
        <w:t xml:space="preserve">students </w:t>
      </w:r>
      <w:r w:rsidR="0000019D" w:rsidRPr="00C971BD">
        <w:rPr>
          <w:rFonts w:cs="Times New Roman"/>
        </w:rPr>
        <w:t xml:space="preserve">may choose a college location </w:t>
      </w:r>
      <w:r w:rsidR="0000019D">
        <w:rPr>
          <w:rFonts w:cs="Times New Roman"/>
        </w:rPr>
        <w:t xml:space="preserve">based on where they </w:t>
      </w:r>
      <w:r w:rsidR="0000019D" w:rsidRPr="00C971BD">
        <w:rPr>
          <w:rFonts w:cs="Times New Roman"/>
        </w:rPr>
        <w:t xml:space="preserve">are considering </w:t>
      </w:r>
      <w:r w:rsidR="0000019D">
        <w:rPr>
          <w:rFonts w:cs="Times New Roman"/>
        </w:rPr>
        <w:t>their</w:t>
      </w:r>
      <w:r w:rsidR="0000019D" w:rsidRPr="00C971BD">
        <w:rPr>
          <w:rFonts w:cs="Times New Roman"/>
        </w:rPr>
        <w:t xml:space="preserve"> permanent residence</w:t>
      </w:r>
      <w:r w:rsidR="005D1FE0">
        <w:rPr>
          <w:rFonts w:cs="Times New Roman"/>
        </w:rPr>
        <w:t xml:space="preserve">, </w:t>
      </w:r>
      <w:r w:rsidR="0000019D">
        <w:t>measur</w:t>
      </w:r>
      <w:r w:rsidR="00C43DD5">
        <w:t>ing</w:t>
      </w:r>
      <w:r w:rsidR="0000019D">
        <w:t xml:space="preserve"> the effect of attending college in a state on post-graduation retention requires controlling for the endogenous propensity of students to remain in the state. We identified t</w:t>
      </w:r>
      <w:r w:rsidR="00CD5FC3">
        <w:t>hree</w:t>
      </w:r>
      <w:r w:rsidR="0000019D">
        <w:t xml:space="preserve"> studies that attempt to measure the effect of graduating from college in a state on the probability of remaining in the state, controlling for </w:t>
      </w:r>
      <w:r w:rsidR="005D1FE0">
        <w:t>such</w:t>
      </w:r>
      <w:r w:rsidR="0000019D">
        <w:t xml:space="preserve"> endogeneity.</w:t>
      </w:r>
      <w:r w:rsidR="0000019D">
        <w:rPr>
          <w:rStyle w:val="FootnoteReference"/>
        </w:rPr>
        <w:footnoteReference w:id="4"/>
      </w:r>
      <w:r w:rsidR="00567F46">
        <w:t xml:space="preserve"> </w:t>
      </w:r>
    </w:p>
    <w:p w:rsidR="0000019D" w:rsidRPr="00C971BD" w:rsidRDefault="0000019D" w:rsidP="0000019D">
      <w:pPr>
        <w:autoSpaceDE w:val="0"/>
        <w:autoSpaceDN w:val="0"/>
        <w:adjustRightInd w:val="0"/>
        <w:spacing w:line="480" w:lineRule="auto"/>
        <w:ind w:firstLine="720"/>
        <w:rPr>
          <w:rFonts w:cs="Times New Roman"/>
        </w:rPr>
      </w:pPr>
      <w:r w:rsidRPr="00741452">
        <w:t xml:space="preserve">Groen (2004) studied the </w:t>
      </w:r>
      <w:r>
        <w:t>effect of attending college in a particular state on the probability of locating in that state upon graduation, and finds modest effects once he controls for endogeneity</w:t>
      </w:r>
      <w:r w:rsidR="005046C9">
        <w:t xml:space="preserve">. </w:t>
      </w:r>
      <w:r w:rsidRPr="00C971BD">
        <w:rPr>
          <w:rFonts w:cs="Times New Roman"/>
        </w:rPr>
        <w:t xml:space="preserve">He treats the endogeneity </w:t>
      </w:r>
      <w:r>
        <w:rPr>
          <w:rFonts w:cs="Times New Roman"/>
        </w:rPr>
        <w:t xml:space="preserve">issue </w:t>
      </w:r>
      <w:r w:rsidRPr="00C971BD">
        <w:rPr>
          <w:rFonts w:cs="Times New Roman"/>
        </w:rPr>
        <w:t>as an omitted variable</w:t>
      </w:r>
      <w:r>
        <w:rPr>
          <w:rFonts w:cs="Times New Roman"/>
        </w:rPr>
        <w:t xml:space="preserve"> problem</w:t>
      </w:r>
      <w:r w:rsidRPr="00C971BD">
        <w:rPr>
          <w:rFonts w:cs="Times New Roman"/>
        </w:rPr>
        <w:t>, and uses the student’s applications to college to control for heterogeneous</w:t>
      </w:r>
      <w:r w:rsidR="006A6A7C">
        <w:rPr>
          <w:rFonts w:cs="Times New Roman"/>
        </w:rPr>
        <w:t xml:space="preserve"> location preferences</w:t>
      </w:r>
      <w:r w:rsidR="005046C9">
        <w:rPr>
          <w:rFonts w:cs="Times New Roman"/>
        </w:rPr>
        <w:t xml:space="preserve">. </w:t>
      </w:r>
      <w:r>
        <w:rPr>
          <w:rFonts w:cs="Times New Roman"/>
        </w:rPr>
        <w:t xml:space="preserve">Using the </w:t>
      </w:r>
      <w:r w:rsidRPr="00C971BD">
        <w:rPr>
          <w:rFonts w:cs="Times New Roman"/>
        </w:rPr>
        <w:t>National Longitudinal Study (NLS) of High School Class of 1972</w:t>
      </w:r>
      <w:r>
        <w:rPr>
          <w:rFonts w:cs="Times New Roman"/>
        </w:rPr>
        <w:t>,</w:t>
      </w:r>
      <w:r w:rsidRPr="00C971BD">
        <w:rPr>
          <w:rFonts w:cs="Times New Roman"/>
        </w:rPr>
        <w:t xml:space="preserve"> he finds that 73 percent of the students that attend college in-state live in that state about 10 years after graduation, while 45 percent of those who attended out-of-state schools live in the original state-of-residence, a difference of 28 percentage points</w:t>
      </w:r>
      <w:r w:rsidR="005046C9">
        <w:rPr>
          <w:rFonts w:cs="Times New Roman"/>
        </w:rPr>
        <w:t xml:space="preserve">. </w:t>
      </w:r>
      <w:r w:rsidRPr="00C971BD">
        <w:rPr>
          <w:rFonts w:cs="Times New Roman"/>
        </w:rPr>
        <w:t xml:space="preserve">However, after controlling for measures of the student’s </w:t>
      </w:r>
      <w:r w:rsidRPr="00C971BD">
        <w:rPr>
          <w:rFonts w:cs="Times New Roman"/>
        </w:rPr>
        <w:lastRenderedPageBreak/>
        <w:t xml:space="preserve">propensity to live in another state and individual characteristics, he estimates that attending </w:t>
      </w:r>
      <w:r w:rsidR="00EE57D8">
        <w:rPr>
          <w:rFonts w:cs="Times New Roman"/>
        </w:rPr>
        <w:t xml:space="preserve">public </w:t>
      </w:r>
      <w:r w:rsidRPr="00C971BD">
        <w:rPr>
          <w:rFonts w:cs="Times New Roman"/>
        </w:rPr>
        <w:t>college in-state increases the probability of living in-state by 1</w:t>
      </w:r>
      <w:r w:rsidR="00EE57D8">
        <w:rPr>
          <w:rFonts w:cs="Times New Roman"/>
        </w:rPr>
        <w:t>5</w:t>
      </w:r>
      <w:r w:rsidRPr="00C971BD">
        <w:rPr>
          <w:rFonts w:cs="Times New Roman"/>
        </w:rPr>
        <w:t xml:space="preserve"> percentage points.</w:t>
      </w:r>
      <w:r w:rsidR="002246AF">
        <w:rPr>
          <w:rStyle w:val="FootnoteReference"/>
          <w:rFonts w:cs="Times New Roman"/>
        </w:rPr>
        <w:footnoteReference w:id="5"/>
      </w:r>
    </w:p>
    <w:p w:rsidR="00CD5FC3" w:rsidDel="002C2A2F" w:rsidRDefault="00CD5FC3" w:rsidP="00CD5FC3">
      <w:pPr>
        <w:autoSpaceDE w:val="0"/>
        <w:autoSpaceDN w:val="0"/>
        <w:adjustRightInd w:val="0"/>
        <w:spacing w:line="480" w:lineRule="auto"/>
        <w:ind w:firstLine="720"/>
      </w:pPr>
      <w:r w:rsidDel="002C2A2F">
        <w:t>Malamud and Wozniak (</w:t>
      </w:r>
      <w:r w:rsidR="008100A8" w:rsidDel="002C2A2F">
        <w:t>201</w:t>
      </w:r>
      <w:r w:rsidR="008100A8">
        <w:t>2</w:t>
      </w:r>
      <w:r w:rsidDel="002C2A2F">
        <w:t xml:space="preserve">) address the question </w:t>
      </w:r>
      <w:r>
        <w:t xml:space="preserve">of post-college retention </w:t>
      </w:r>
      <w:r w:rsidDel="002C2A2F">
        <w:t>using variation in college attainment that is induced by variation in the risk of induction through the military draft to estimate casual effects of higher education on mobility. The estimates are based on the 1980 PUMS data, focusing only on men born between 1942 and 1953</w:t>
      </w:r>
      <w:r w:rsidR="005046C9">
        <w:t xml:space="preserve">. </w:t>
      </w:r>
      <w:r w:rsidR="00F91CA1">
        <w:t>T</w:t>
      </w:r>
      <w:r w:rsidDel="002C2A2F">
        <w:t>hey estimate that an additional year of college</w:t>
      </w:r>
      <w:r w:rsidR="00EE57D8">
        <w:t xml:space="preserve"> in a non-birth state</w:t>
      </w:r>
      <w:r w:rsidDel="002C2A2F">
        <w:t xml:space="preserve"> increases the probability </w:t>
      </w:r>
      <w:r w:rsidR="00EE57D8">
        <w:t>that</w:t>
      </w:r>
      <w:r w:rsidDel="002C2A2F">
        <w:t xml:space="preserve"> an individual resid</w:t>
      </w:r>
      <w:r w:rsidR="00EE57D8">
        <w:t>es</w:t>
      </w:r>
      <w:r w:rsidDel="002C2A2F">
        <w:t xml:space="preserve"> outside his birth state at mid-career </w:t>
      </w:r>
      <w:r w:rsidR="00EE57D8">
        <w:t>by</w:t>
      </w:r>
      <w:r w:rsidDel="002C2A2F">
        <w:t xml:space="preserve"> 7 percentage points.</w:t>
      </w:r>
    </w:p>
    <w:p w:rsidR="0000019D" w:rsidRDefault="00E605FA" w:rsidP="0000019D">
      <w:pPr>
        <w:autoSpaceDE w:val="0"/>
        <w:autoSpaceDN w:val="0"/>
        <w:adjustRightInd w:val="0"/>
        <w:spacing w:line="480" w:lineRule="auto"/>
        <w:ind w:firstLine="720"/>
      </w:pPr>
      <w:r>
        <w:t xml:space="preserve">Neither Groen (2004) nor </w:t>
      </w:r>
      <w:r w:rsidDel="002C2A2F">
        <w:t>Malamud and Wozniak (</w:t>
      </w:r>
      <w:r w:rsidR="0071096F" w:rsidDel="002C2A2F">
        <w:t>201</w:t>
      </w:r>
      <w:r w:rsidR="0071096F">
        <w:t>2</w:t>
      </w:r>
      <w:r w:rsidDel="002C2A2F">
        <w:t>)</w:t>
      </w:r>
      <w:r>
        <w:t xml:space="preserve"> consider the effect of a merit-based scholarship program on post-college retention</w:t>
      </w:r>
      <w:r w:rsidR="005046C9">
        <w:t xml:space="preserve">. </w:t>
      </w:r>
      <w:r w:rsidR="0000019D" w:rsidRPr="00741452">
        <w:t>Hickman (2009)</w:t>
      </w:r>
      <w:r w:rsidR="0039533C">
        <w:t xml:space="preserve"> </w:t>
      </w:r>
      <w:r w:rsidR="00A4038A">
        <w:t xml:space="preserve">was the first to </w:t>
      </w:r>
      <w:r w:rsidR="00CD5FC3">
        <w:t>address the effect of a merit-based scholarship program on post-college retention</w:t>
      </w:r>
      <w:r w:rsidR="005046C9">
        <w:t xml:space="preserve">. </w:t>
      </w:r>
      <w:r w:rsidR="00CD5FC3">
        <w:t>Hickman</w:t>
      </w:r>
      <w:r w:rsidR="0000019D" w:rsidRPr="00741452">
        <w:t xml:space="preserve"> investigated the effect of the introduction of Florida’s merit</w:t>
      </w:r>
      <w:r w:rsidR="0000019D">
        <w:t>-based</w:t>
      </w:r>
      <w:r w:rsidR="0000019D" w:rsidRPr="00741452">
        <w:t xml:space="preserve"> scholarship program in 1997</w:t>
      </w:r>
      <w:r w:rsidR="0045535F">
        <w:t xml:space="preserve"> </w:t>
      </w:r>
      <w:r w:rsidR="0000019D" w:rsidRPr="00741452">
        <w:t xml:space="preserve">on the </w:t>
      </w:r>
      <w:r w:rsidR="0000019D">
        <w:t xml:space="preserve">post-graduation </w:t>
      </w:r>
      <w:r w:rsidR="0000019D" w:rsidRPr="00741452">
        <w:t>retention of students in Florida</w:t>
      </w:r>
      <w:r w:rsidR="0000019D">
        <w:t xml:space="preserve"> using the </w:t>
      </w:r>
      <w:r w:rsidR="0000019D" w:rsidRPr="0045535F">
        <w:t>2000 Census of Population</w:t>
      </w:r>
      <w:r w:rsidR="0000019D">
        <w:t xml:space="preserve"> and the American Community Survey for 2001 through 2006</w:t>
      </w:r>
      <w:r w:rsidR="005046C9">
        <w:t xml:space="preserve">. </w:t>
      </w:r>
      <w:r w:rsidR="0000019D">
        <w:t xml:space="preserve">To address </w:t>
      </w:r>
      <w:r w:rsidR="0045535F">
        <w:t xml:space="preserve">the </w:t>
      </w:r>
      <w:r w:rsidR="0000019D">
        <w:t xml:space="preserve">endogeneity issue he constructs a treatment group consisting of anyone born in Florida who was 18 years of age in 1997 or </w:t>
      </w:r>
      <w:proofErr w:type="gramStart"/>
      <w:r w:rsidR="0000019D">
        <w:t>later,</w:t>
      </w:r>
      <w:proofErr w:type="gramEnd"/>
      <w:r w:rsidR="0000019D">
        <w:t xml:space="preserve"> and thus </w:t>
      </w:r>
      <w:r w:rsidR="0045535F">
        <w:t xml:space="preserve">are assumed to have been </w:t>
      </w:r>
      <w:r w:rsidR="0000019D">
        <w:t>exposed to the treatment</w:t>
      </w:r>
      <w:r w:rsidR="005046C9">
        <w:t xml:space="preserve">. </w:t>
      </w:r>
      <w:r w:rsidR="0000019D">
        <w:t>The control group consists of individuals who were age 18 in 1996 or earlier. He considers individual</w:t>
      </w:r>
      <w:r w:rsidR="00B62A79">
        <w:t>s</w:t>
      </w:r>
      <w:r w:rsidR="0000019D">
        <w:t xml:space="preserve"> between 23 to 27 years of age who are not in school or the military</w:t>
      </w:r>
      <w:r w:rsidR="005046C9">
        <w:t>.</w:t>
      </w:r>
      <w:r w:rsidR="00A4038A">
        <w:rPr>
          <w:rStyle w:val="FootnoteReference"/>
        </w:rPr>
        <w:footnoteReference w:id="6"/>
      </w:r>
      <w:r w:rsidR="005046C9">
        <w:t xml:space="preserve"> </w:t>
      </w:r>
    </w:p>
    <w:p w:rsidR="00EE57D8" w:rsidRDefault="00A76455" w:rsidP="0000019D">
      <w:pPr>
        <w:autoSpaceDE w:val="0"/>
        <w:autoSpaceDN w:val="0"/>
        <w:adjustRightInd w:val="0"/>
        <w:spacing w:line="480" w:lineRule="auto"/>
        <w:ind w:firstLine="720"/>
      </w:pPr>
      <w:r>
        <w:t>Hickman’s</w:t>
      </w:r>
      <w:r w:rsidR="0000019D">
        <w:t xml:space="preserve"> dependent variable is whether the individual resides in Florida</w:t>
      </w:r>
      <w:r w:rsidR="0045535F">
        <w:t xml:space="preserve"> </w:t>
      </w:r>
      <w:r w:rsidR="0050112A">
        <w:t>post-graduation</w:t>
      </w:r>
      <w:r w:rsidR="0000019D">
        <w:t>. In his regression Hickman includes the treatment dummy and its interaction with a dummy measuring whether the individual has any post-secondary college education</w:t>
      </w:r>
      <w:r w:rsidR="005046C9">
        <w:t xml:space="preserve">. </w:t>
      </w:r>
      <w:r w:rsidR="0000019D">
        <w:t>The coefficient on the treatment dummy is not statistically significant, but the interaction term is</w:t>
      </w:r>
      <w:r w:rsidR="005046C9">
        <w:t xml:space="preserve">. </w:t>
      </w:r>
      <w:r w:rsidR="0000019D">
        <w:t xml:space="preserve">The </w:t>
      </w:r>
      <w:r w:rsidR="0000019D">
        <w:lastRenderedPageBreak/>
        <w:t xml:space="preserve">result implies that </w:t>
      </w:r>
      <w:r w:rsidR="0000019D" w:rsidRPr="00741452">
        <w:t xml:space="preserve">that the introduction of the scholarship program increased the probability </w:t>
      </w:r>
      <w:r w:rsidR="0000019D">
        <w:t xml:space="preserve">that a 23 to 27 year old with some college </w:t>
      </w:r>
      <w:r w:rsidR="0000019D" w:rsidRPr="00741452">
        <w:t>locat</w:t>
      </w:r>
      <w:r w:rsidR="0000019D">
        <w:t>ed</w:t>
      </w:r>
      <w:r w:rsidR="0000019D" w:rsidRPr="00741452">
        <w:t xml:space="preserve"> in Florida</w:t>
      </w:r>
      <w:r w:rsidR="0000019D">
        <w:t xml:space="preserve"> </w:t>
      </w:r>
      <w:r w:rsidR="0000019D" w:rsidRPr="00741452">
        <w:t>by 3.4 percentage points</w:t>
      </w:r>
      <w:r w:rsidR="005046C9">
        <w:t xml:space="preserve">. </w:t>
      </w:r>
    </w:p>
    <w:p w:rsidR="004D39D9" w:rsidRDefault="009D35A8" w:rsidP="00485B1A">
      <w:pPr>
        <w:spacing w:line="480" w:lineRule="auto"/>
        <w:ind w:firstLine="720"/>
      </w:pPr>
      <w:r>
        <w:rPr>
          <w:rFonts w:eastAsia="Calibri" w:cs="Times New Roman"/>
        </w:rPr>
        <w:t>From a policy perspective, states are</w:t>
      </w:r>
      <w:r w:rsidR="00485B1A">
        <w:rPr>
          <w:rFonts w:eastAsia="Calibri" w:cs="Times New Roman"/>
        </w:rPr>
        <w:t xml:space="preserve"> </w:t>
      </w:r>
      <w:r w:rsidR="00485B1A">
        <w:t>concern</w:t>
      </w:r>
      <w:r>
        <w:t>ed</w:t>
      </w:r>
      <w:r w:rsidR="00485B1A">
        <w:t xml:space="preserve"> that many </w:t>
      </w:r>
      <w:r w:rsidR="00EE57D8">
        <w:t xml:space="preserve">of the </w:t>
      </w:r>
      <w:r w:rsidR="00485B1A">
        <w:t>students who receive a HOPE</w:t>
      </w:r>
      <w:r w:rsidR="00EE57D8">
        <w:t>-like</w:t>
      </w:r>
      <w:r w:rsidR="00485B1A">
        <w:t xml:space="preserve"> scholarship may leave the state </w:t>
      </w:r>
      <w:r w:rsidR="00EE57D8">
        <w:t xml:space="preserve">and work elsewhere </w:t>
      </w:r>
      <w:r w:rsidR="00485B1A">
        <w:t>once their undergraduate education is complete</w:t>
      </w:r>
      <w:r w:rsidR="005046C9">
        <w:t xml:space="preserve">. </w:t>
      </w:r>
      <w:r w:rsidR="00485B1A">
        <w:t xml:space="preserve">There are several possible reasons why a state would want merit-aid scholars </w:t>
      </w:r>
      <w:r w:rsidR="00142F9A">
        <w:t xml:space="preserve">to work in the state </w:t>
      </w:r>
      <w:r w:rsidR="00485B1A">
        <w:t>once they finish their education. To the extent that these students do leave the state after attending college, the state’s return on its expenditure is reduced</w:t>
      </w:r>
      <w:r w:rsidR="005046C9">
        <w:t xml:space="preserve">. </w:t>
      </w:r>
      <w:r w:rsidR="00485B1A">
        <w:t>While the increased earnings of those students who attend college because of HOPE is the most significant benefit from HOPE, this return is largely captured by the individual and does not depend on staying in the state after college</w:t>
      </w:r>
      <w:r w:rsidR="005046C9">
        <w:t xml:space="preserve">. </w:t>
      </w:r>
      <w:r w:rsidR="00485B1A">
        <w:t>The other potential benefits of additional graduates staying in-state as a result of HOPE include the effect on economic development and public finances</w:t>
      </w:r>
      <w:r w:rsidR="005046C9">
        <w:t xml:space="preserve">. </w:t>
      </w:r>
      <w:r w:rsidR="00485B1A" w:rsidRPr="002B6561">
        <w:rPr>
          <w:rFonts w:cs="Times New Roman"/>
        </w:rPr>
        <w:t xml:space="preserve">It is believed that communities that </w:t>
      </w:r>
      <w:r w:rsidR="00485B1A">
        <w:rPr>
          <w:rFonts w:cs="Times New Roman"/>
        </w:rPr>
        <w:t xml:space="preserve">are able to </w:t>
      </w:r>
      <w:r w:rsidR="00485B1A" w:rsidRPr="002B6561">
        <w:rPr>
          <w:rFonts w:cs="Times New Roman"/>
        </w:rPr>
        <w:t>attract the best and the brightest will have higher economic growth rates</w:t>
      </w:r>
      <w:r w:rsidR="00485B1A">
        <w:rPr>
          <w:rFonts w:cs="Times New Roman"/>
        </w:rPr>
        <w:t xml:space="preserve"> (</w:t>
      </w:r>
      <w:proofErr w:type="spellStart"/>
      <w:r w:rsidR="00485B1A">
        <w:t>Glaeser</w:t>
      </w:r>
      <w:proofErr w:type="spellEnd"/>
      <w:r w:rsidR="00485B1A">
        <w:t xml:space="preserve"> and </w:t>
      </w:r>
      <w:proofErr w:type="spellStart"/>
      <w:r w:rsidR="00485B1A">
        <w:t>Saiz</w:t>
      </w:r>
      <w:proofErr w:type="spellEnd"/>
      <w:r w:rsidR="00485B1A">
        <w:t xml:space="preserve"> 2004; </w:t>
      </w:r>
      <w:proofErr w:type="spellStart"/>
      <w:r w:rsidR="00485B1A">
        <w:rPr>
          <w:rFonts w:cs="Times New Roman"/>
        </w:rPr>
        <w:t>Moretti</w:t>
      </w:r>
      <w:proofErr w:type="spellEnd"/>
      <w:r w:rsidR="00485B1A">
        <w:rPr>
          <w:rFonts w:cs="Times New Roman"/>
        </w:rPr>
        <w:t xml:space="preserve"> 2004; </w:t>
      </w:r>
      <w:r w:rsidR="00485B1A">
        <w:t>Florida</w:t>
      </w:r>
      <w:r w:rsidR="00C143F8">
        <w:t xml:space="preserve"> et al.</w:t>
      </w:r>
      <w:r w:rsidR="00485B1A">
        <w:t xml:space="preserve"> 2008</w:t>
      </w:r>
      <w:r w:rsidR="00485B1A">
        <w:rPr>
          <w:rFonts w:cs="Times New Roman"/>
        </w:rPr>
        <w:t xml:space="preserve">) and a better quality of life (Shapiro 2006; </w:t>
      </w:r>
      <w:proofErr w:type="gramStart"/>
      <w:r w:rsidR="00485B1A">
        <w:rPr>
          <w:rFonts w:cs="Times New Roman"/>
        </w:rPr>
        <w:t>Winters</w:t>
      </w:r>
      <w:proofErr w:type="gramEnd"/>
      <w:r w:rsidR="00485B1A">
        <w:rPr>
          <w:rFonts w:cs="Times New Roman"/>
        </w:rPr>
        <w:t xml:space="preserve"> 2011a)</w:t>
      </w:r>
      <w:r w:rsidR="005046C9">
        <w:rPr>
          <w:rFonts w:cs="Times New Roman"/>
        </w:rPr>
        <w:t xml:space="preserve">. </w:t>
      </w:r>
      <w:r w:rsidR="00485B1A">
        <w:rPr>
          <w:rFonts w:cs="Times New Roman"/>
        </w:rPr>
        <w:t>In addition, h</w:t>
      </w:r>
      <w:r w:rsidR="00485B1A" w:rsidRPr="002B6561">
        <w:rPr>
          <w:rFonts w:cs="Times New Roman"/>
        </w:rPr>
        <w:t>igher educated workers pay more in taxes and impose less cost on the public sector for services</w:t>
      </w:r>
      <w:r w:rsidR="00485B1A">
        <w:rPr>
          <w:rFonts w:cs="Times New Roman"/>
        </w:rPr>
        <w:t xml:space="preserve"> (</w:t>
      </w:r>
      <w:proofErr w:type="spellStart"/>
      <w:r w:rsidR="00485B1A">
        <w:rPr>
          <w:rFonts w:cs="Times New Roman"/>
        </w:rPr>
        <w:t>Trostel</w:t>
      </w:r>
      <w:proofErr w:type="spellEnd"/>
      <w:r w:rsidR="00485B1A">
        <w:rPr>
          <w:rFonts w:cs="Times New Roman"/>
        </w:rPr>
        <w:t xml:space="preserve"> 2010)</w:t>
      </w:r>
      <w:r w:rsidR="005046C9">
        <w:rPr>
          <w:rFonts w:cs="Times New Roman"/>
        </w:rPr>
        <w:t xml:space="preserve">. </w:t>
      </w:r>
      <w:r w:rsidR="00485B1A">
        <w:rPr>
          <w:rFonts w:cs="Times New Roman"/>
        </w:rPr>
        <w:t>Thus,</w:t>
      </w:r>
      <w:r w:rsidR="00485B1A">
        <w:t xml:space="preserve"> it is of interest to determine whether a HOPE scholarship affects </w:t>
      </w:r>
      <w:r w:rsidR="00363AD4">
        <w:t>post-college</w:t>
      </w:r>
      <w:r w:rsidR="00485B1A">
        <w:t xml:space="preserve"> retention</w:t>
      </w:r>
      <w:r w:rsidR="005046C9">
        <w:t>.</w:t>
      </w:r>
    </w:p>
    <w:p w:rsidR="00485B1A" w:rsidRDefault="009D35A8" w:rsidP="00485B1A">
      <w:pPr>
        <w:spacing w:line="480" w:lineRule="auto"/>
        <w:ind w:firstLine="720"/>
      </w:pPr>
      <w:r>
        <w:rPr>
          <w:rFonts w:eastAsia="Calibri" w:cs="Times New Roman"/>
        </w:rPr>
        <w:t>Th</w:t>
      </w:r>
      <w:r w:rsidR="002033A5">
        <w:rPr>
          <w:rFonts w:eastAsia="Calibri" w:cs="Times New Roman"/>
        </w:rPr>
        <w:t>e current</w:t>
      </w:r>
      <w:r>
        <w:rPr>
          <w:rFonts w:eastAsia="Calibri" w:cs="Times New Roman"/>
        </w:rPr>
        <w:t xml:space="preserve"> paper addresses this policy question</w:t>
      </w:r>
      <w:r w:rsidR="00AE26B2">
        <w:rPr>
          <w:rFonts w:eastAsia="Calibri" w:cs="Times New Roman"/>
        </w:rPr>
        <w:t>, and w</w:t>
      </w:r>
      <w:r w:rsidR="00485B1A">
        <w:t>hile this analysis considers one policy, i.e., HOPE, the analysis is relevant to merit-based aid programs in other states and to other policies that affect the percentage of state high school graduates who decide to go to college in-state.</w:t>
      </w:r>
    </w:p>
    <w:p w:rsidR="009D35A8" w:rsidRDefault="002B0A90" w:rsidP="00997021">
      <w:pPr>
        <w:spacing w:line="480" w:lineRule="auto"/>
        <w:ind w:firstLine="720"/>
        <w:rPr>
          <w:rFonts w:eastAsia="Calibri" w:cs="Times New Roman"/>
        </w:rPr>
      </w:pPr>
      <w:r>
        <w:rPr>
          <w:rFonts w:eastAsia="Calibri" w:cs="Times New Roman"/>
        </w:rPr>
        <w:t>For</w:t>
      </w:r>
      <w:r w:rsidR="0050112A">
        <w:rPr>
          <w:rFonts w:eastAsia="Calibri" w:cs="Times New Roman"/>
        </w:rPr>
        <w:t xml:space="preserve"> our</w:t>
      </w:r>
      <w:r w:rsidR="00A4038A">
        <w:rPr>
          <w:rFonts w:eastAsia="Calibri" w:cs="Times New Roman"/>
        </w:rPr>
        <w:t xml:space="preserve"> primary approach</w:t>
      </w:r>
      <w:r w:rsidR="0050112A">
        <w:rPr>
          <w:rFonts w:eastAsia="Calibri" w:cs="Times New Roman"/>
        </w:rPr>
        <w:t>, w</w:t>
      </w:r>
      <w:r w:rsidR="00A76455">
        <w:rPr>
          <w:rFonts w:eastAsia="Calibri" w:cs="Times New Roman"/>
        </w:rPr>
        <w:t xml:space="preserve">e </w:t>
      </w:r>
      <w:r>
        <w:rPr>
          <w:rFonts w:eastAsia="Calibri" w:cs="Times New Roman"/>
        </w:rPr>
        <w:t xml:space="preserve">use administrative data to </w:t>
      </w:r>
      <w:r w:rsidR="00A76455">
        <w:rPr>
          <w:rFonts w:eastAsia="Calibri" w:cs="Times New Roman"/>
        </w:rPr>
        <w:t>explor</w:t>
      </w:r>
      <w:r w:rsidR="00AE26B2">
        <w:rPr>
          <w:rFonts w:eastAsia="Calibri" w:cs="Times New Roman"/>
        </w:rPr>
        <w:t>e</w:t>
      </w:r>
      <w:r w:rsidR="00A76455">
        <w:rPr>
          <w:rFonts w:eastAsia="Calibri" w:cs="Times New Roman"/>
        </w:rPr>
        <w:t xml:space="preserve"> the effect of </w:t>
      </w:r>
      <w:r w:rsidR="00077C2E">
        <w:rPr>
          <w:rFonts w:eastAsia="Calibri" w:cs="Times New Roman"/>
        </w:rPr>
        <w:t>the</w:t>
      </w:r>
      <w:r w:rsidR="00A76455">
        <w:rPr>
          <w:rFonts w:eastAsia="Calibri" w:cs="Times New Roman"/>
        </w:rPr>
        <w:t xml:space="preserve"> HOPE Scholarship on the likelihood that </w:t>
      </w:r>
      <w:r w:rsidR="00077C2E">
        <w:rPr>
          <w:rFonts w:eastAsia="Calibri" w:cs="Times New Roman"/>
        </w:rPr>
        <w:t>a student</w:t>
      </w:r>
      <w:r w:rsidR="00A76455">
        <w:rPr>
          <w:rFonts w:eastAsia="Calibri" w:cs="Times New Roman"/>
        </w:rPr>
        <w:t xml:space="preserve"> will be employed in Georgia upon completing undergraduate studies</w:t>
      </w:r>
      <w:r w:rsidR="00077C2E">
        <w:rPr>
          <w:rFonts w:eastAsia="Calibri" w:cs="Times New Roman"/>
        </w:rPr>
        <w:t xml:space="preserve"> in the state</w:t>
      </w:r>
      <w:r w:rsidR="005046C9">
        <w:rPr>
          <w:rFonts w:eastAsia="Calibri" w:cs="Times New Roman"/>
        </w:rPr>
        <w:t xml:space="preserve">. </w:t>
      </w:r>
      <w:r w:rsidR="009D35A8">
        <w:rPr>
          <w:rFonts w:eastAsia="Calibri" w:cs="Times New Roman"/>
        </w:rPr>
        <w:t>In other words, we measure the effect of HOPE on post-</w:t>
      </w:r>
      <w:r w:rsidR="009D35A8">
        <w:rPr>
          <w:rFonts w:eastAsia="Calibri" w:cs="Times New Roman"/>
        </w:rPr>
        <w:lastRenderedPageBreak/>
        <w:t xml:space="preserve">college </w:t>
      </w:r>
      <w:r w:rsidR="00AE26B2">
        <w:rPr>
          <w:rFonts w:eastAsia="Calibri" w:cs="Times New Roman"/>
        </w:rPr>
        <w:t xml:space="preserve">in-state </w:t>
      </w:r>
      <w:r w:rsidR="009D35A8">
        <w:rPr>
          <w:rFonts w:eastAsia="Calibri" w:cs="Times New Roman"/>
        </w:rPr>
        <w:t xml:space="preserve">retention </w:t>
      </w:r>
      <w:r w:rsidR="00142F9A">
        <w:rPr>
          <w:rFonts w:eastAsia="Calibri" w:cs="Times New Roman"/>
        </w:rPr>
        <w:t xml:space="preserve">(measured by whether the student is employed in the state) </w:t>
      </w:r>
      <w:r w:rsidR="009D35A8">
        <w:rPr>
          <w:rFonts w:eastAsia="Calibri" w:cs="Times New Roman"/>
        </w:rPr>
        <w:t xml:space="preserve">among students </w:t>
      </w:r>
      <w:r w:rsidR="00AE26B2">
        <w:rPr>
          <w:rFonts w:eastAsia="Calibri" w:cs="Times New Roman"/>
        </w:rPr>
        <w:t xml:space="preserve">who </w:t>
      </w:r>
      <w:r w:rsidR="009D35A8">
        <w:rPr>
          <w:rFonts w:eastAsia="Calibri" w:cs="Times New Roman"/>
        </w:rPr>
        <w:t>enroll in a Georgia</w:t>
      </w:r>
      <w:r w:rsidR="00AE26B2">
        <w:rPr>
          <w:rFonts w:eastAsia="Calibri" w:cs="Times New Roman"/>
        </w:rPr>
        <w:t xml:space="preserve"> public</w:t>
      </w:r>
      <w:r w:rsidR="009D35A8">
        <w:rPr>
          <w:rFonts w:eastAsia="Calibri" w:cs="Times New Roman"/>
        </w:rPr>
        <w:t xml:space="preserve"> college or university</w:t>
      </w:r>
      <w:r w:rsidR="005046C9">
        <w:rPr>
          <w:rFonts w:eastAsia="Calibri" w:cs="Times New Roman"/>
        </w:rPr>
        <w:t xml:space="preserve">. </w:t>
      </w:r>
      <w:r w:rsidR="009D35A8">
        <w:rPr>
          <w:rFonts w:eastAsia="Calibri" w:cs="Times New Roman"/>
        </w:rPr>
        <w:t xml:space="preserve">This is not the same as asking </w:t>
      </w:r>
      <w:r w:rsidR="002033A5">
        <w:rPr>
          <w:rFonts w:eastAsia="Calibri" w:cs="Times New Roman"/>
        </w:rPr>
        <w:t xml:space="preserve">the </w:t>
      </w:r>
      <w:r w:rsidR="007A6223">
        <w:rPr>
          <w:rFonts w:eastAsia="Calibri" w:cs="Times New Roman"/>
        </w:rPr>
        <w:t xml:space="preserve">alternative </w:t>
      </w:r>
      <w:r w:rsidR="002033A5">
        <w:rPr>
          <w:rFonts w:eastAsia="Calibri" w:cs="Times New Roman"/>
        </w:rPr>
        <w:t xml:space="preserve">question, </w:t>
      </w:r>
      <w:r w:rsidR="009D35A8">
        <w:rPr>
          <w:rFonts w:eastAsia="Calibri" w:cs="Times New Roman"/>
        </w:rPr>
        <w:t xml:space="preserve">what </w:t>
      </w:r>
      <w:r w:rsidR="00142F9A">
        <w:rPr>
          <w:rFonts w:eastAsia="Calibri" w:cs="Times New Roman"/>
        </w:rPr>
        <w:t xml:space="preserve">is </w:t>
      </w:r>
      <w:r w:rsidR="009D35A8">
        <w:rPr>
          <w:rFonts w:eastAsia="Calibri" w:cs="Times New Roman"/>
        </w:rPr>
        <w:t>the effect of HOPE among individuals who are eligible for HOPE</w:t>
      </w:r>
      <w:r w:rsidR="002033A5">
        <w:rPr>
          <w:rFonts w:eastAsia="Calibri" w:cs="Times New Roman"/>
        </w:rPr>
        <w:t>?</w:t>
      </w:r>
      <w:r w:rsidR="00567F46">
        <w:rPr>
          <w:rFonts w:eastAsia="Calibri" w:cs="Times New Roman"/>
        </w:rPr>
        <w:t xml:space="preserve"> </w:t>
      </w:r>
      <w:r w:rsidR="00D46F1F">
        <w:rPr>
          <w:rFonts w:eastAsia="Calibri" w:cs="Times New Roman"/>
        </w:rPr>
        <w:t>To address th</w:t>
      </w:r>
      <w:r w:rsidR="002033A5">
        <w:rPr>
          <w:rFonts w:eastAsia="Calibri" w:cs="Times New Roman"/>
        </w:rPr>
        <w:t>at</w:t>
      </w:r>
      <w:r w:rsidR="00D46F1F">
        <w:rPr>
          <w:rFonts w:eastAsia="Calibri" w:cs="Times New Roman"/>
        </w:rPr>
        <w:t xml:space="preserve"> </w:t>
      </w:r>
      <w:r w:rsidR="002033A5">
        <w:rPr>
          <w:rFonts w:eastAsia="Calibri" w:cs="Times New Roman"/>
        </w:rPr>
        <w:t xml:space="preserve">question </w:t>
      </w:r>
      <w:r w:rsidR="00D46F1F">
        <w:rPr>
          <w:rFonts w:eastAsia="Calibri" w:cs="Times New Roman"/>
        </w:rPr>
        <w:t xml:space="preserve">one has to consider two </w:t>
      </w:r>
      <w:r w:rsidR="00A06306">
        <w:rPr>
          <w:rFonts w:eastAsia="Calibri" w:cs="Times New Roman"/>
        </w:rPr>
        <w:t>separate issues</w:t>
      </w:r>
      <w:r w:rsidR="005046C9">
        <w:rPr>
          <w:rFonts w:eastAsia="Calibri" w:cs="Times New Roman"/>
        </w:rPr>
        <w:t xml:space="preserve">. </w:t>
      </w:r>
      <w:r w:rsidR="00A06306">
        <w:rPr>
          <w:rFonts w:eastAsia="Calibri" w:cs="Times New Roman"/>
        </w:rPr>
        <w:t>F</w:t>
      </w:r>
      <w:r w:rsidR="00D46F1F">
        <w:rPr>
          <w:rFonts w:eastAsia="Calibri" w:cs="Times New Roman"/>
        </w:rPr>
        <w:t xml:space="preserve">irst, </w:t>
      </w:r>
      <w:r w:rsidR="00A06306">
        <w:rPr>
          <w:rFonts w:eastAsia="Calibri" w:cs="Times New Roman"/>
        </w:rPr>
        <w:t>since HOPE has been found to change the composition of the student body, it is necessary to first determine</w:t>
      </w:r>
      <w:r w:rsidR="00D46F1F">
        <w:rPr>
          <w:rFonts w:eastAsia="Calibri" w:cs="Times New Roman"/>
        </w:rPr>
        <w:t xml:space="preserve"> the effect of HOPE on who attends public post-secondary schools in Georgia</w:t>
      </w:r>
      <w:r w:rsidR="005046C9">
        <w:rPr>
          <w:rFonts w:eastAsia="Calibri" w:cs="Times New Roman"/>
        </w:rPr>
        <w:t xml:space="preserve">. </w:t>
      </w:r>
      <w:r w:rsidR="00F91CA1">
        <w:rPr>
          <w:rFonts w:eastAsia="Calibri" w:cs="Times New Roman"/>
        </w:rPr>
        <w:t>Second, o</w:t>
      </w:r>
      <w:r w:rsidR="007A6223">
        <w:rPr>
          <w:rFonts w:eastAsia="Calibri" w:cs="Times New Roman"/>
        </w:rPr>
        <w:t>nce the adjusted student body is measured, one would then measure</w:t>
      </w:r>
      <w:r w:rsidR="00D46F1F">
        <w:rPr>
          <w:rFonts w:eastAsia="Calibri" w:cs="Times New Roman"/>
        </w:rPr>
        <w:t xml:space="preserve"> the effect of HOPE on the interstate mobility of these HOPE</w:t>
      </w:r>
      <w:r w:rsidR="00F91CA1">
        <w:rPr>
          <w:rFonts w:eastAsia="Calibri" w:cs="Times New Roman"/>
        </w:rPr>
        <w:t xml:space="preserve"> eligible</w:t>
      </w:r>
      <w:r w:rsidR="00D46F1F">
        <w:rPr>
          <w:rFonts w:eastAsia="Calibri" w:cs="Times New Roman"/>
        </w:rPr>
        <w:t xml:space="preserve"> students</w:t>
      </w:r>
      <w:r w:rsidR="005046C9">
        <w:rPr>
          <w:rFonts w:eastAsia="Calibri" w:cs="Times New Roman"/>
        </w:rPr>
        <w:t xml:space="preserve">. </w:t>
      </w:r>
      <w:r w:rsidR="00AE26B2">
        <w:rPr>
          <w:rFonts w:eastAsia="Calibri" w:cs="Times New Roman"/>
        </w:rPr>
        <w:t xml:space="preserve">As noted above, the first </w:t>
      </w:r>
      <w:r w:rsidR="00186175">
        <w:rPr>
          <w:rFonts w:eastAsia="Calibri" w:cs="Times New Roman"/>
        </w:rPr>
        <w:t xml:space="preserve">issue </w:t>
      </w:r>
      <w:r w:rsidR="00AE26B2">
        <w:rPr>
          <w:rFonts w:eastAsia="Calibri" w:cs="Times New Roman"/>
        </w:rPr>
        <w:t>has been studied by several people</w:t>
      </w:r>
      <w:r w:rsidR="007A6223">
        <w:rPr>
          <w:rFonts w:eastAsia="Calibri" w:cs="Times New Roman"/>
        </w:rPr>
        <w:t>, but those studies have not identified which specific students changed their enrol</w:t>
      </w:r>
      <w:r w:rsidR="00F91CA1">
        <w:rPr>
          <w:rFonts w:eastAsia="Calibri" w:cs="Times New Roman"/>
        </w:rPr>
        <w:t>l</w:t>
      </w:r>
      <w:r w:rsidR="007A6223">
        <w:rPr>
          <w:rFonts w:eastAsia="Calibri" w:cs="Times New Roman"/>
        </w:rPr>
        <w:t>ment behavior, and wh</w:t>
      </w:r>
      <w:r w:rsidR="00D46F1F">
        <w:rPr>
          <w:rFonts w:eastAsia="Calibri" w:cs="Times New Roman"/>
        </w:rPr>
        <w:t xml:space="preserve">ile we have a very rich data set, it cannot be used to </w:t>
      </w:r>
      <w:r w:rsidR="00F91CA1">
        <w:rPr>
          <w:rFonts w:eastAsia="Calibri" w:cs="Times New Roman"/>
        </w:rPr>
        <w:t>address</w:t>
      </w:r>
      <w:r w:rsidR="00D46F1F">
        <w:rPr>
          <w:rFonts w:eastAsia="Calibri" w:cs="Times New Roman"/>
        </w:rPr>
        <w:t xml:space="preserve"> the first </w:t>
      </w:r>
      <w:r w:rsidR="007A6223">
        <w:rPr>
          <w:rFonts w:eastAsia="Calibri" w:cs="Times New Roman"/>
        </w:rPr>
        <w:t>issue</w:t>
      </w:r>
      <w:r w:rsidR="005046C9">
        <w:rPr>
          <w:rFonts w:eastAsia="Calibri" w:cs="Times New Roman"/>
        </w:rPr>
        <w:t xml:space="preserve">. </w:t>
      </w:r>
      <w:r w:rsidR="007A6223">
        <w:rPr>
          <w:rFonts w:eastAsia="Calibri" w:cs="Times New Roman"/>
        </w:rPr>
        <w:t>Thus, we cannot address the alternative question</w:t>
      </w:r>
      <w:r>
        <w:rPr>
          <w:rFonts w:eastAsia="Calibri" w:cs="Times New Roman"/>
        </w:rPr>
        <w:t xml:space="preserve"> using administrative data</w:t>
      </w:r>
      <w:r w:rsidR="005046C9">
        <w:rPr>
          <w:rFonts w:eastAsia="Calibri" w:cs="Times New Roman"/>
        </w:rPr>
        <w:t xml:space="preserve">. </w:t>
      </w:r>
      <w:r w:rsidR="004C6B5A">
        <w:rPr>
          <w:rFonts w:eastAsia="Calibri" w:cs="Times New Roman"/>
        </w:rPr>
        <w:t xml:space="preserve">Our </w:t>
      </w:r>
      <w:r w:rsidR="00A4038A">
        <w:rPr>
          <w:rFonts w:eastAsia="Calibri" w:cs="Times New Roman"/>
        </w:rPr>
        <w:t xml:space="preserve">primary approach is thus an </w:t>
      </w:r>
      <w:r w:rsidR="004C6B5A">
        <w:rPr>
          <w:rFonts w:eastAsia="Calibri" w:cs="Times New Roman"/>
        </w:rPr>
        <w:t>analysis</w:t>
      </w:r>
      <w:r w:rsidR="00A4038A">
        <w:rPr>
          <w:rFonts w:eastAsia="Calibri" w:cs="Times New Roman"/>
        </w:rPr>
        <w:t xml:space="preserve"> of</w:t>
      </w:r>
      <w:r w:rsidR="004C6B5A">
        <w:rPr>
          <w:rFonts w:eastAsia="Calibri" w:cs="Times New Roman"/>
        </w:rPr>
        <w:t xml:space="preserve"> </w:t>
      </w:r>
      <w:r w:rsidR="00D46675">
        <w:rPr>
          <w:rFonts w:eastAsia="Calibri" w:cs="Times New Roman"/>
        </w:rPr>
        <w:t>individuals</w:t>
      </w:r>
      <w:r w:rsidR="004C6B5A">
        <w:rPr>
          <w:rFonts w:eastAsia="Calibri" w:cs="Times New Roman"/>
        </w:rPr>
        <w:t xml:space="preserve"> who enroll in college in Georgia, which is different from looking at a sample of high school graduates </w:t>
      </w:r>
      <w:r w:rsidR="00F023D4">
        <w:rPr>
          <w:rFonts w:eastAsia="Calibri" w:cs="Times New Roman"/>
        </w:rPr>
        <w:t>unconditional</w:t>
      </w:r>
      <w:r w:rsidR="004C6B5A">
        <w:rPr>
          <w:rFonts w:eastAsia="Calibri" w:cs="Times New Roman"/>
        </w:rPr>
        <w:t xml:space="preserve"> on whether and where they enroll in college.</w:t>
      </w:r>
    </w:p>
    <w:p w:rsidR="00016BA9" w:rsidRDefault="002B0A90" w:rsidP="00997021">
      <w:pPr>
        <w:spacing w:line="480" w:lineRule="auto"/>
        <w:ind w:firstLine="720"/>
        <w:rPr>
          <w:rFonts w:eastAsia="Calibri" w:cs="Times New Roman"/>
        </w:rPr>
      </w:pPr>
      <w:r>
        <w:rPr>
          <w:rFonts w:eastAsia="Calibri" w:cs="Times New Roman"/>
        </w:rPr>
        <w:t xml:space="preserve">For </w:t>
      </w:r>
      <w:r w:rsidR="004E4BAB">
        <w:rPr>
          <w:rFonts w:eastAsia="Calibri" w:cs="Times New Roman"/>
        </w:rPr>
        <w:t>this</w:t>
      </w:r>
      <w:r w:rsidR="00AE26B2">
        <w:rPr>
          <w:rFonts w:eastAsia="Calibri" w:cs="Times New Roman"/>
        </w:rPr>
        <w:t xml:space="preserve"> </w:t>
      </w:r>
      <w:r>
        <w:rPr>
          <w:rFonts w:eastAsia="Calibri" w:cs="Times New Roman"/>
        </w:rPr>
        <w:t>first approach</w:t>
      </w:r>
      <w:r w:rsidR="00EA0F37">
        <w:rPr>
          <w:rFonts w:eastAsia="Calibri" w:cs="Times New Roman"/>
        </w:rPr>
        <w:t>, which we refer to as the USG-approach,</w:t>
      </w:r>
      <w:r w:rsidR="00A76455">
        <w:rPr>
          <w:rFonts w:eastAsia="Calibri" w:cs="Times New Roman"/>
        </w:rPr>
        <w:t xml:space="preserve"> w</w:t>
      </w:r>
      <w:r w:rsidR="00997021" w:rsidRPr="00C971BD">
        <w:rPr>
          <w:rFonts w:eastAsia="Calibri" w:cs="Times New Roman"/>
        </w:rPr>
        <w:t>e combine administrative data on student and employment records from the University System of Georgia (USG), the Georgia Student Finance Commission, and the Georgia Department of Labor</w:t>
      </w:r>
      <w:r w:rsidR="005046C9">
        <w:rPr>
          <w:rFonts w:eastAsia="Calibri" w:cs="Times New Roman"/>
        </w:rPr>
        <w:t xml:space="preserve">. </w:t>
      </w:r>
      <w:r w:rsidR="00B5478D">
        <w:rPr>
          <w:rFonts w:eastAsia="Calibri" w:cs="Times New Roman"/>
        </w:rPr>
        <w:t>We</w:t>
      </w:r>
      <w:r w:rsidR="00997021" w:rsidRPr="00C971BD">
        <w:rPr>
          <w:rFonts w:eastAsia="Calibri" w:cs="Times New Roman"/>
        </w:rPr>
        <w:t xml:space="preserve"> measure retention </w:t>
      </w:r>
      <w:r w:rsidR="00B5478D">
        <w:rPr>
          <w:rFonts w:eastAsia="Calibri" w:cs="Times New Roman"/>
        </w:rPr>
        <w:t>by</w:t>
      </w:r>
      <w:r w:rsidR="00B5478D" w:rsidRPr="00C971BD">
        <w:rPr>
          <w:rFonts w:eastAsia="Calibri" w:cs="Times New Roman"/>
        </w:rPr>
        <w:t xml:space="preserve"> </w:t>
      </w:r>
      <w:r w:rsidR="00997021" w:rsidRPr="00C971BD">
        <w:rPr>
          <w:rFonts w:eastAsia="Calibri" w:cs="Times New Roman"/>
        </w:rPr>
        <w:t xml:space="preserve">whether a student is employed in Georgia </w:t>
      </w:r>
      <w:r w:rsidR="002033A5">
        <w:rPr>
          <w:rFonts w:eastAsia="Calibri" w:cs="Times New Roman"/>
        </w:rPr>
        <w:t>X</w:t>
      </w:r>
      <w:r w:rsidR="00B5478D" w:rsidRPr="00C971BD">
        <w:rPr>
          <w:rFonts w:eastAsia="Calibri" w:cs="Times New Roman"/>
        </w:rPr>
        <w:t xml:space="preserve"> </w:t>
      </w:r>
      <w:r w:rsidR="00997021" w:rsidRPr="00C971BD">
        <w:rPr>
          <w:rFonts w:eastAsia="Calibri" w:cs="Times New Roman"/>
        </w:rPr>
        <w:t>years after first enrolling in college</w:t>
      </w:r>
      <w:r w:rsidR="002033A5">
        <w:rPr>
          <w:rFonts w:eastAsia="Calibri" w:cs="Times New Roman"/>
        </w:rPr>
        <w:t xml:space="preserve"> (where X takes on several different values)</w:t>
      </w:r>
      <w:r w:rsidR="00EB3B77">
        <w:rPr>
          <w:rFonts w:eastAsia="Calibri" w:cs="Times New Roman"/>
        </w:rPr>
        <w:t xml:space="preserve"> and use several approaches to examine the effects of HOPE on </w:t>
      </w:r>
      <w:r w:rsidR="00363AD4">
        <w:rPr>
          <w:rFonts w:eastAsia="Calibri" w:cs="Times New Roman"/>
        </w:rPr>
        <w:t>post-college</w:t>
      </w:r>
      <w:r w:rsidR="00EB3B77">
        <w:rPr>
          <w:rFonts w:eastAsia="Calibri" w:cs="Times New Roman"/>
        </w:rPr>
        <w:t xml:space="preserve"> retention rates in the Georgia workforce</w:t>
      </w:r>
      <w:r w:rsidR="00997021" w:rsidRPr="00C971BD">
        <w:rPr>
          <w:rFonts w:eastAsia="Calibri" w:cs="Times New Roman"/>
        </w:rPr>
        <w:t>.</w:t>
      </w:r>
      <w:r w:rsidR="000C6972">
        <w:rPr>
          <w:rStyle w:val="FootnoteReference"/>
          <w:rFonts w:eastAsia="Calibri" w:cs="Times New Roman"/>
        </w:rPr>
        <w:footnoteReference w:id="7"/>
      </w:r>
      <w:r w:rsidR="00567F46">
        <w:rPr>
          <w:rFonts w:eastAsia="Calibri" w:cs="Times New Roman"/>
        </w:rPr>
        <w:t xml:space="preserve"> </w:t>
      </w:r>
    </w:p>
    <w:p w:rsidR="0050112A" w:rsidRDefault="0050112A" w:rsidP="0050112A">
      <w:pPr>
        <w:autoSpaceDE w:val="0"/>
        <w:autoSpaceDN w:val="0"/>
        <w:adjustRightInd w:val="0"/>
        <w:spacing w:line="480" w:lineRule="auto"/>
        <w:ind w:firstLine="720"/>
      </w:pPr>
      <w:r>
        <w:t xml:space="preserve">Our </w:t>
      </w:r>
      <w:r w:rsidR="004E4BAB">
        <w:t xml:space="preserve">second </w:t>
      </w:r>
      <w:r w:rsidR="00A4038A">
        <w:t xml:space="preserve">approach </w:t>
      </w:r>
      <w:r w:rsidR="004E4BAB">
        <w:t xml:space="preserve">uses </w:t>
      </w:r>
      <w:r w:rsidR="00A4038A">
        <w:t xml:space="preserve">methodology </w:t>
      </w:r>
      <w:r w:rsidR="004E4BAB">
        <w:t>similar to Hickman (2009). This second approach, which we refer to as the Hickman-approach</w:t>
      </w:r>
      <w:r w:rsidR="002B0A90">
        <w:t>,</w:t>
      </w:r>
      <w:r w:rsidR="004E4BAB">
        <w:t xml:space="preserve"> </w:t>
      </w:r>
      <w:r>
        <w:t xml:space="preserve">fundamentally differs from </w:t>
      </w:r>
      <w:r w:rsidR="004E4BAB">
        <w:t xml:space="preserve">the use of </w:t>
      </w:r>
      <w:r w:rsidR="004E4BAB">
        <w:lastRenderedPageBreak/>
        <w:t xml:space="preserve">administrative records </w:t>
      </w:r>
      <w:r>
        <w:t>in several important ways.</w:t>
      </w:r>
      <w:r w:rsidR="00B26884">
        <w:rPr>
          <w:rStyle w:val="FootnoteReference"/>
        </w:rPr>
        <w:footnoteReference w:id="8"/>
      </w:r>
      <w:r>
        <w:t xml:space="preserve"> First, </w:t>
      </w:r>
      <w:r w:rsidR="004E4BAB">
        <w:t>t</w:t>
      </w:r>
      <w:r>
        <w:t xml:space="preserve">he </w:t>
      </w:r>
      <w:r w:rsidR="004E4BAB">
        <w:t xml:space="preserve">Hickman-approach </w:t>
      </w:r>
      <w:r>
        <w:t xml:space="preserve">examines the post-college residential retention in </w:t>
      </w:r>
      <w:r w:rsidR="004E4BAB">
        <w:t>Georgia</w:t>
      </w:r>
      <w:r>
        <w:t xml:space="preserve"> of college-educated persons born in </w:t>
      </w:r>
      <w:r w:rsidR="004E4BAB">
        <w:t xml:space="preserve">Georgia </w:t>
      </w:r>
      <w:r>
        <w:t xml:space="preserve">regardless of whether they attended college in </w:t>
      </w:r>
      <w:r w:rsidR="004E4BAB">
        <w:t>Georgia</w:t>
      </w:r>
      <w:r>
        <w:t xml:space="preserve">, </w:t>
      </w:r>
      <w:r w:rsidR="004E4BAB">
        <w:t xml:space="preserve">while our first approach </w:t>
      </w:r>
      <w:r>
        <w:t>examine</w:t>
      </w:r>
      <w:r w:rsidR="004E4BAB">
        <w:t>s</w:t>
      </w:r>
      <w:r>
        <w:t xml:space="preserve"> the post-college employment retention in Georgia of persons who enrolled in the USG. Therefore, </w:t>
      </w:r>
      <w:r w:rsidR="004E4BAB">
        <w:t>the first approach</w:t>
      </w:r>
      <w:r>
        <w:t xml:space="preserve"> measure</w:t>
      </w:r>
      <w:r w:rsidR="004E4BAB">
        <w:t>s</w:t>
      </w:r>
      <w:r>
        <w:t xml:space="preserve"> post-college retention by employment in Georgia conditional on enrollment in the USG, while </w:t>
      </w:r>
      <w:r w:rsidR="004E4BAB">
        <w:t xml:space="preserve">the </w:t>
      </w:r>
      <w:r>
        <w:t>Hickman</w:t>
      </w:r>
      <w:r w:rsidR="004E4BAB">
        <w:t>-approach</w:t>
      </w:r>
      <w:r>
        <w:t xml:space="preserve"> measures an unconditional retention by residing in </w:t>
      </w:r>
      <w:r w:rsidR="004E4BAB">
        <w:t>Georgia</w:t>
      </w:r>
      <w:r>
        <w:t>.</w:t>
      </w:r>
      <w:r w:rsidR="00567F46">
        <w:t xml:space="preserve"> </w:t>
      </w:r>
      <w:r w:rsidR="004E4BAB">
        <w:t>Second, the first</w:t>
      </w:r>
      <w:r>
        <w:t xml:space="preserve"> analysis speaks more directly to the objective of increasing post-college, in-state employment. Another difference is that </w:t>
      </w:r>
      <w:r w:rsidR="004E4BAB">
        <w:t xml:space="preserve">with the </w:t>
      </w:r>
      <w:r>
        <w:t>Hickman</w:t>
      </w:r>
      <w:r w:rsidR="004E4BAB">
        <w:t>-approach we do</w:t>
      </w:r>
      <w:r w:rsidRPr="00741452">
        <w:t xml:space="preserve"> not know whether a student actually received a merit scholarship</w:t>
      </w:r>
      <w:r w:rsidR="004E4BAB">
        <w:t>,</w:t>
      </w:r>
      <w:r w:rsidRPr="00741452">
        <w:t xml:space="preserve"> only that the student graduated from high school when the program was in existence</w:t>
      </w:r>
      <w:r>
        <w:t>.</w:t>
      </w:r>
      <w:r w:rsidR="00567F46">
        <w:t xml:space="preserve"> </w:t>
      </w:r>
      <w:r w:rsidR="004E4BAB">
        <w:t>With the first approach w</w:t>
      </w:r>
      <w:r>
        <w:t>e are able to identify and track students who received a HOPE Scholarship.</w:t>
      </w:r>
      <w:r w:rsidR="00567F46">
        <w:t xml:space="preserve"> </w:t>
      </w:r>
      <w:r w:rsidR="004E4BAB">
        <w:t xml:space="preserve">Finally, both approaches </w:t>
      </w:r>
      <w:r w:rsidR="008F162C">
        <w:t>suffer</w:t>
      </w:r>
      <w:r w:rsidR="004E4BAB">
        <w:t xml:space="preserve"> from the effect of HOPE on </w:t>
      </w:r>
      <w:r w:rsidR="008F162C">
        <w:t xml:space="preserve">college enrollment, so that any pre- and post-HOPE comparisons are affected by changes in the </w:t>
      </w:r>
      <w:r w:rsidR="002B0A90">
        <w:t>composition</w:t>
      </w:r>
      <w:r w:rsidR="008F162C">
        <w:t xml:space="preserve"> of the student body; for example, </w:t>
      </w:r>
      <w:r w:rsidR="002B0A90">
        <w:t>HOPE may have caused an</w:t>
      </w:r>
      <w:r w:rsidR="008F162C">
        <w:t xml:space="preserve"> increase in enrollment of students who in the absence of HOPE would not have gone to college or would have gone to college out-of-state</w:t>
      </w:r>
      <w:r w:rsidR="002B0A90">
        <w:t>, but who might have propensities to remain in Georgia that differ from those of students whose college attendance was not affected by HOPE</w:t>
      </w:r>
      <w:r w:rsidR="008F162C">
        <w:t xml:space="preserve">. </w:t>
      </w:r>
    </w:p>
    <w:p w:rsidR="008F162C" w:rsidRDefault="008F162C" w:rsidP="0011112F">
      <w:pPr>
        <w:spacing w:line="480" w:lineRule="auto"/>
        <w:ind w:firstLine="720"/>
      </w:pPr>
      <w:r>
        <w:rPr>
          <w:rFonts w:eastAsia="Calibri" w:cs="Times New Roman"/>
        </w:rPr>
        <w:t>To preview our results,</w:t>
      </w:r>
      <w:r w:rsidR="00067B7B">
        <w:rPr>
          <w:rFonts w:eastAsia="Calibri" w:cs="Times New Roman"/>
        </w:rPr>
        <w:t xml:space="preserve"> u</w:t>
      </w:r>
      <w:r w:rsidR="00A4038A">
        <w:rPr>
          <w:rFonts w:eastAsia="Calibri" w:cs="Times New Roman"/>
        </w:rPr>
        <w:t xml:space="preserve">sing administrative data we </w:t>
      </w:r>
      <w:r w:rsidR="00A4038A">
        <w:rPr>
          <w:rFonts w:cs="Times New Roman"/>
          <w:szCs w:val="24"/>
        </w:rPr>
        <w:t>find evidence that HOPE had little long run effect on post-college retention rates for lower ability students, but did reduce retention rates among the best HOPE eligible students, many of whom would likely have gone to college out-of-state without the HOPE program.</w:t>
      </w:r>
      <w:r w:rsidR="00567F46">
        <w:rPr>
          <w:rFonts w:cs="Times New Roman"/>
          <w:szCs w:val="24"/>
        </w:rPr>
        <w:t xml:space="preserve"> </w:t>
      </w:r>
      <w:r w:rsidR="00A4038A">
        <w:rPr>
          <w:rFonts w:cs="Times New Roman"/>
          <w:szCs w:val="24"/>
        </w:rPr>
        <w:t xml:space="preserve">While this may initially seem surprising, it is consistent with our conceptual framework we present in Section III and with the findings of </w:t>
      </w:r>
      <w:proofErr w:type="spellStart"/>
      <w:r w:rsidR="00A4038A">
        <w:rPr>
          <w:rFonts w:cs="Times New Roman"/>
          <w:szCs w:val="24"/>
        </w:rPr>
        <w:t>Dynarski</w:t>
      </w:r>
      <w:proofErr w:type="spellEnd"/>
      <w:r w:rsidR="00A4038A">
        <w:rPr>
          <w:rFonts w:cs="Times New Roman"/>
          <w:szCs w:val="24"/>
        </w:rPr>
        <w:t xml:space="preserve"> </w:t>
      </w:r>
      <w:r w:rsidR="00A4038A">
        <w:rPr>
          <w:rFonts w:cs="Times New Roman"/>
          <w:szCs w:val="24"/>
        </w:rPr>
        <w:lastRenderedPageBreak/>
        <w:t>(2002) and Cornwell</w:t>
      </w:r>
      <w:r w:rsidR="00C75571">
        <w:rPr>
          <w:rFonts w:cs="Times New Roman"/>
          <w:szCs w:val="24"/>
        </w:rPr>
        <w:t xml:space="preserve"> et al.</w:t>
      </w:r>
      <w:r w:rsidR="00A4038A">
        <w:rPr>
          <w:rFonts w:cs="Times New Roman"/>
          <w:szCs w:val="24"/>
        </w:rPr>
        <w:t xml:space="preserve"> (2006). They find that HOPE attracted students who in the absence of HOPE would have gone to college out-of-state. Our analysis suggests that the decrease in post-college retention is driven by the predisposition of these students to move out-of-state after college.</w:t>
      </w:r>
      <w:r w:rsidR="00067B7B">
        <w:rPr>
          <w:rFonts w:cs="Times New Roman"/>
          <w:szCs w:val="24"/>
        </w:rPr>
        <w:t xml:space="preserve"> </w:t>
      </w:r>
      <w:r>
        <w:rPr>
          <w:rFonts w:eastAsia="Calibri" w:cs="Times New Roman"/>
        </w:rPr>
        <w:t xml:space="preserve">For the Hickman-approach, </w:t>
      </w:r>
      <w:r w:rsidR="002B0A90">
        <w:rPr>
          <w:rFonts w:eastAsia="Calibri" w:cs="Times New Roman"/>
        </w:rPr>
        <w:t>the results differ depending on the definition of the control group.</w:t>
      </w:r>
      <w:r w:rsidR="00567F46">
        <w:rPr>
          <w:rFonts w:eastAsia="Calibri" w:cs="Times New Roman"/>
        </w:rPr>
        <w:t xml:space="preserve"> </w:t>
      </w:r>
      <w:r w:rsidR="002B0A90">
        <w:rPr>
          <w:rFonts w:eastAsia="Calibri" w:cs="Times New Roman"/>
        </w:rPr>
        <w:t xml:space="preserve">However, </w:t>
      </w:r>
      <w:r>
        <w:rPr>
          <w:rFonts w:eastAsia="Calibri" w:cs="Times New Roman"/>
        </w:rPr>
        <w:t>the results from our preferred model suggest that HOPE had no effect on post-college retention.</w:t>
      </w:r>
    </w:p>
    <w:p w:rsidR="00906762" w:rsidRDefault="00906762" w:rsidP="00C00087">
      <w:pPr>
        <w:spacing w:after="0" w:line="480" w:lineRule="auto"/>
        <w:ind w:firstLine="720"/>
      </w:pPr>
      <w:r>
        <w:t>The remainder of the paper proceeds as follows</w:t>
      </w:r>
      <w:r w:rsidR="005046C9">
        <w:t xml:space="preserve">. </w:t>
      </w:r>
      <w:r>
        <w:t>In the next section we briefly describe the HOPE program. Section I</w:t>
      </w:r>
      <w:r w:rsidR="0045535F">
        <w:t>II</w:t>
      </w:r>
      <w:r w:rsidR="00571465">
        <w:t xml:space="preserve"> </w:t>
      </w:r>
      <w:r w:rsidR="007156C7">
        <w:t>presents a framework for decomposing changes in retention</w:t>
      </w:r>
      <w:r w:rsidR="005046C9">
        <w:t xml:space="preserve">. </w:t>
      </w:r>
      <w:r w:rsidR="0016465D">
        <w:t xml:space="preserve">Section IV </w:t>
      </w:r>
      <w:r w:rsidR="00571465">
        <w:t xml:space="preserve">discusses the </w:t>
      </w:r>
      <w:r w:rsidR="00F91CA1">
        <w:t xml:space="preserve">construction of the </w:t>
      </w:r>
      <w:r w:rsidR="008F162C">
        <w:t xml:space="preserve">administrative </w:t>
      </w:r>
      <w:r w:rsidR="00571465">
        <w:t xml:space="preserve">data used in </w:t>
      </w:r>
      <w:r w:rsidR="008F162C">
        <w:t>the first approach</w:t>
      </w:r>
      <w:r w:rsidR="00571465">
        <w:t>, and Section V presents the empirical results</w:t>
      </w:r>
      <w:r w:rsidR="00F91CA1">
        <w:t xml:space="preserve"> using those data</w:t>
      </w:r>
      <w:r w:rsidR="005046C9">
        <w:t>.</w:t>
      </w:r>
      <w:r w:rsidR="00567F46">
        <w:t xml:space="preserve"> </w:t>
      </w:r>
      <w:r w:rsidR="008F162C">
        <w:t xml:space="preserve">Section VI discusses the Hickman-approach and the </w:t>
      </w:r>
      <w:r w:rsidR="00F328EC">
        <w:t xml:space="preserve">data used, while the </w:t>
      </w:r>
      <w:r w:rsidR="008F162C">
        <w:t>results of that analysis</w:t>
      </w:r>
      <w:r w:rsidR="00F328EC">
        <w:t xml:space="preserve"> are presented in Section VII</w:t>
      </w:r>
      <w:r w:rsidR="008F162C">
        <w:t>.</w:t>
      </w:r>
      <w:r w:rsidR="00567F46">
        <w:t xml:space="preserve"> </w:t>
      </w:r>
      <w:r w:rsidR="00571465">
        <w:t>A final section concludes.</w:t>
      </w:r>
    </w:p>
    <w:p w:rsidR="00F42D57" w:rsidRDefault="00F42D57" w:rsidP="006A24EF">
      <w:pPr>
        <w:spacing w:after="0" w:line="480" w:lineRule="auto"/>
      </w:pPr>
    </w:p>
    <w:p w:rsidR="004972B9" w:rsidRPr="007E580A" w:rsidRDefault="007E580A" w:rsidP="007E580A">
      <w:pPr>
        <w:spacing w:line="480" w:lineRule="auto"/>
        <w:rPr>
          <w:rFonts w:cs="Times New Roman"/>
          <w:b/>
        </w:rPr>
      </w:pPr>
      <w:r>
        <w:rPr>
          <w:rFonts w:cs="Times New Roman"/>
          <w:b/>
        </w:rPr>
        <w:t xml:space="preserve">II. </w:t>
      </w:r>
      <w:r w:rsidR="004972B9" w:rsidRPr="007E580A">
        <w:rPr>
          <w:rFonts w:cs="Times New Roman"/>
          <w:b/>
        </w:rPr>
        <w:t>Background on HOPE</w:t>
      </w:r>
      <w:r w:rsidR="00A24A54" w:rsidRPr="00F42D57">
        <w:rPr>
          <w:rStyle w:val="FootnoteReference"/>
          <w:rFonts w:cs="Times New Roman"/>
          <w:b/>
        </w:rPr>
        <w:footnoteReference w:id="9"/>
      </w:r>
    </w:p>
    <w:p w:rsidR="00A24A54" w:rsidRPr="00C971BD" w:rsidRDefault="00E65BFD" w:rsidP="006A24EF">
      <w:pPr>
        <w:spacing w:line="480" w:lineRule="auto"/>
        <w:ind w:firstLine="720"/>
        <w:rPr>
          <w:rFonts w:cs="Times New Roman"/>
          <w:b/>
        </w:rPr>
      </w:pPr>
      <w:r w:rsidRPr="00C971BD">
        <w:rPr>
          <w:rFonts w:cs="Times New Roman"/>
        </w:rPr>
        <w:t>HOPE</w:t>
      </w:r>
      <w:r w:rsidR="000037EF" w:rsidRPr="00C971BD">
        <w:rPr>
          <w:rFonts w:cs="Times New Roman"/>
        </w:rPr>
        <w:t xml:space="preserve"> (Helping Outstanding Pupils Educationally) is</w:t>
      </w:r>
      <w:r w:rsidRPr="00C971BD">
        <w:rPr>
          <w:rFonts w:cs="Times New Roman"/>
        </w:rPr>
        <w:t xml:space="preserve"> </w:t>
      </w:r>
      <w:r w:rsidR="00251D3E" w:rsidRPr="00C971BD">
        <w:rPr>
          <w:rFonts w:cs="Times New Roman"/>
        </w:rPr>
        <w:t>a universal merit-based post-secondary schola</w:t>
      </w:r>
      <w:r w:rsidR="00A54217">
        <w:rPr>
          <w:rFonts w:cs="Times New Roman"/>
        </w:rPr>
        <w:t xml:space="preserve">rship and grant program for Georgia </w:t>
      </w:r>
      <w:r w:rsidR="00251D3E" w:rsidRPr="00C971BD">
        <w:rPr>
          <w:rFonts w:cs="Times New Roman"/>
        </w:rPr>
        <w:t>students enrolled in college or a technical school</w:t>
      </w:r>
      <w:r w:rsidR="00A54217">
        <w:rPr>
          <w:rFonts w:cs="Times New Roman"/>
        </w:rPr>
        <w:t xml:space="preserve"> who have a B average</w:t>
      </w:r>
      <w:r w:rsidR="005046C9">
        <w:rPr>
          <w:rFonts w:cs="Times New Roman"/>
        </w:rPr>
        <w:t xml:space="preserve">. </w:t>
      </w:r>
      <w:r w:rsidR="00251D3E" w:rsidRPr="00C971BD">
        <w:rPr>
          <w:rFonts w:cs="Times New Roman"/>
        </w:rPr>
        <w:t>Funded by the Georgia lottery, these programs have served thousands of students since 199</w:t>
      </w:r>
      <w:r w:rsidR="00DF00F6">
        <w:rPr>
          <w:rFonts w:cs="Times New Roman"/>
        </w:rPr>
        <w:t>3</w:t>
      </w:r>
      <w:r w:rsidR="00251D3E" w:rsidRPr="00C971BD">
        <w:rPr>
          <w:rFonts w:cs="Times New Roman"/>
        </w:rPr>
        <w:t>.</w:t>
      </w:r>
      <w:r w:rsidR="00E6069A">
        <w:rPr>
          <w:rStyle w:val="FootnoteReference"/>
          <w:rFonts w:cs="Times New Roman"/>
        </w:rPr>
        <w:footnoteReference w:id="10"/>
      </w:r>
      <w:r w:rsidR="00251D3E" w:rsidRPr="00C971BD">
        <w:rPr>
          <w:rFonts w:cs="Times New Roman"/>
        </w:rPr>
        <w:t xml:space="preserve"> </w:t>
      </w:r>
      <w:r w:rsidR="000037EF" w:rsidRPr="00C971BD">
        <w:rPr>
          <w:rFonts w:cs="Times New Roman"/>
        </w:rPr>
        <w:t>Between 199</w:t>
      </w:r>
      <w:r w:rsidR="00DF00F6">
        <w:rPr>
          <w:rFonts w:cs="Times New Roman"/>
        </w:rPr>
        <w:t>3</w:t>
      </w:r>
      <w:r w:rsidR="000037EF" w:rsidRPr="00C971BD">
        <w:rPr>
          <w:rFonts w:cs="Times New Roman"/>
        </w:rPr>
        <w:t xml:space="preserve"> and 2010, the number of HOPE </w:t>
      </w:r>
      <w:r w:rsidR="00A76455">
        <w:rPr>
          <w:rFonts w:cs="Times New Roman"/>
        </w:rPr>
        <w:t>recipients</w:t>
      </w:r>
      <w:r w:rsidR="000037EF" w:rsidRPr="00C971BD">
        <w:rPr>
          <w:rFonts w:cs="Times New Roman"/>
        </w:rPr>
        <w:t xml:space="preserve"> increased from </w:t>
      </w:r>
      <w:r w:rsidR="00A76455">
        <w:rPr>
          <w:rFonts w:cs="Times New Roman"/>
        </w:rPr>
        <w:t xml:space="preserve">42,796 </w:t>
      </w:r>
      <w:r w:rsidR="000037EF" w:rsidRPr="00C971BD">
        <w:rPr>
          <w:rFonts w:cs="Times New Roman"/>
        </w:rPr>
        <w:t xml:space="preserve">to </w:t>
      </w:r>
      <w:r w:rsidR="00A76455">
        <w:rPr>
          <w:rFonts w:cs="Times New Roman"/>
        </w:rPr>
        <w:t>256,484</w:t>
      </w:r>
      <w:r w:rsidR="000037EF" w:rsidRPr="00C971BD">
        <w:rPr>
          <w:rFonts w:cs="Times New Roman"/>
        </w:rPr>
        <w:t xml:space="preserve">, while </w:t>
      </w:r>
      <w:r w:rsidR="00A76455">
        <w:rPr>
          <w:rFonts w:cs="Times New Roman"/>
        </w:rPr>
        <w:t>the value of the awards</w:t>
      </w:r>
      <w:r w:rsidR="000037EF" w:rsidRPr="00C971BD">
        <w:rPr>
          <w:rFonts w:cs="Times New Roman"/>
        </w:rPr>
        <w:t xml:space="preserve"> increased from $</w:t>
      </w:r>
      <w:r w:rsidR="00A76455">
        <w:rPr>
          <w:rFonts w:cs="Times New Roman"/>
        </w:rPr>
        <w:t>21.4</w:t>
      </w:r>
      <w:r w:rsidR="000037EF" w:rsidRPr="00C971BD">
        <w:rPr>
          <w:rFonts w:cs="Times New Roman"/>
        </w:rPr>
        <w:t xml:space="preserve"> million to $</w:t>
      </w:r>
      <w:r w:rsidR="00A76455">
        <w:rPr>
          <w:rFonts w:cs="Times New Roman"/>
        </w:rPr>
        <w:t>748.2</w:t>
      </w:r>
      <w:r w:rsidR="000037EF" w:rsidRPr="00C971BD">
        <w:rPr>
          <w:rFonts w:cs="Times New Roman"/>
        </w:rPr>
        <w:t xml:space="preserve"> million</w:t>
      </w:r>
      <w:r w:rsidR="00A76455">
        <w:rPr>
          <w:rFonts w:cs="Times New Roman"/>
        </w:rPr>
        <w:t xml:space="preserve"> (Georgia Student Finance Commission 2011)</w:t>
      </w:r>
      <w:r w:rsidR="00A24A54" w:rsidRPr="00C971BD">
        <w:rPr>
          <w:rFonts w:cs="Times New Roman"/>
        </w:rPr>
        <w:t xml:space="preserve">. In fall 1999, 81.6 percent of freshmen entering Georgia public colleges had a HOPE Scholarship, while in 2009 it was 49.4 </w:t>
      </w:r>
      <w:r w:rsidR="00A24A54" w:rsidRPr="00C971BD">
        <w:rPr>
          <w:rFonts w:cs="Times New Roman"/>
        </w:rPr>
        <w:lastRenderedPageBreak/>
        <w:t>percent</w:t>
      </w:r>
      <w:r w:rsidR="00C971BD">
        <w:rPr>
          <w:rFonts w:cs="Times New Roman"/>
        </w:rPr>
        <w:t>; t</w:t>
      </w:r>
      <w:r w:rsidR="00A24A54" w:rsidRPr="00C971BD">
        <w:rPr>
          <w:rFonts w:cs="Times New Roman"/>
        </w:rPr>
        <w:t xml:space="preserve">he decrease </w:t>
      </w:r>
      <w:r w:rsidR="00C971BD">
        <w:rPr>
          <w:rFonts w:cs="Times New Roman"/>
        </w:rPr>
        <w:t>is the</w:t>
      </w:r>
      <w:r w:rsidR="00A24A54" w:rsidRPr="00C971BD">
        <w:rPr>
          <w:rFonts w:cs="Times New Roman"/>
        </w:rPr>
        <w:t xml:space="preserve"> result o</w:t>
      </w:r>
      <w:r w:rsidR="00C971BD">
        <w:rPr>
          <w:rFonts w:cs="Times New Roman"/>
        </w:rPr>
        <w:t>f</w:t>
      </w:r>
      <w:r w:rsidR="00A24A54" w:rsidRPr="00C971BD">
        <w:rPr>
          <w:rFonts w:cs="Times New Roman"/>
        </w:rPr>
        <w:t xml:space="preserve"> changes in 2000 in how the </w:t>
      </w:r>
      <w:r w:rsidR="00A54217">
        <w:rPr>
          <w:rFonts w:cs="Times New Roman"/>
        </w:rPr>
        <w:t>g</w:t>
      </w:r>
      <w:r w:rsidR="00A54217" w:rsidRPr="00C971BD">
        <w:rPr>
          <w:rFonts w:cs="Times New Roman"/>
          <w:szCs w:val="24"/>
        </w:rPr>
        <w:t xml:space="preserve">rade </w:t>
      </w:r>
      <w:r w:rsidR="00A54217">
        <w:rPr>
          <w:rFonts w:cs="Times New Roman"/>
          <w:szCs w:val="24"/>
        </w:rPr>
        <w:t>p</w:t>
      </w:r>
      <w:r w:rsidR="00A54217" w:rsidRPr="00C971BD">
        <w:rPr>
          <w:rFonts w:cs="Times New Roman"/>
          <w:szCs w:val="24"/>
        </w:rPr>
        <w:t xml:space="preserve">oint </w:t>
      </w:r>
      <w:r w:rsidR="00A54217">
        <w:rPr>
          <w:rFonts w:cs="Times New Roman"/>
          <w:szCs w:val="24"/>
        </w:rPr>
        <w:t>a</w:t>
      </w:r>
      <w:r w:rsidR="00A54217" w:rsidRPr="00C971BD">
        <w:rPr>
          <w:rFonts w:cs="Times New Roman"/>
          <w:szCs w:val="24"/>
        </w:rPr>
        <w:t>verage</w:t>
      </w:r>
      <w:r w:rsidR="00A54217">
        <w:rPr>
          <w:rFonts w:cs="Times New Roman"/>
          <w:szCs w:val="24"/>
        </w:rPr>
        <w:t xml:space="preserve"> (GPA) that determines</w:t>
      </w:r>
      <w:r w:rsidR="00A54217" w:rsidRPr="00C971BD">
        <w:rPr>
          <w:rFonts w:cs="Times New Roman"/>
          <w:szCs w:val="24"/>
        </w:rPr>
        <w:t xml:space="preserve"> </w:t>
      </w:r>
      <w:r w:rsidR="00A24A54" w:rsidRPr="00C971BD">
        <w:rPr>
          <w:rFonts w:cs="Times New Roman"/>
        </w:rPr>
        <w:t xml:space="preserve">HOPE </w:t>
      </w:r>
      <w:r w:rsidR="00A54217">
        <w:rPr>
          <w:rFonts w:cs="Times New Roman"/>
        </w:rPr>
        <w:t xml:space="preserve">eligibility </w:t>
      </w:r>
      <w:r w:rsidR="00A24A54" w:rsidRPr="00C971BD">
        <w:rPr>
          <w:rFonts w:cs="Times New Roman"/>
        </w:rPr>
        <w:t>is calculated.</w:t>
      </w:r>
    </w:p>
    <w:p w:rsidR="00251D3E" w:rsidRPr="00C971BD" w:rsidRDefault="00C971BD" w:rsidP="006A24EF">
      <w:pPr>
        <w:spacing w:line="480" w:lineRule="auto"/>
        <w:rPr>
          <w:rFonts w:cs="Times New Roman"/>
        </w:rPr>
      </w:pPr>
      <w:r>
        <w:rPr>
          <w:rFonts w:cs="Times New Roman"/>
        </w:rPr>
        <w:tab/>
      </w:r>
      <w:r w:rsidR="00251D3E" w:rsidRPr="00C971BD">
        <w:rPr>
          <w:rFonts w:cs="Times New Roman"/>
        </w:rPr>
        <w:t xml:space="preserve">To be eligible a student must be </w:t>
      </w:r>
      <w:r w:rsidR="000037EF" w:rsidRPr="00C971BD">
        <w:rPr>
          <w:rFonts w:cs="Times New Roman"/>
        </w:rPr>
        <w:t xml:space="preserve">a </w:t>
      </w:r>
      <w:r w:rsidR="00251D3E" w:rsidRPr="00C971BD">
        <w:rPr>
          <w:rFonts w:cs="Times New Roman"/>
        </w:rPr>
        <w:t>U.S. citizen or eligible non-citizen, a Georgia resident</w:t>
      </w:r>
      <w:r w:rsidR="000037EF" w:rsidRPr="00C971BD">
        <w:rPr>
          <w:rFonts w:cs="Times New Roman"/>
        </w:rPr>
        <w:t xml:space="preserve">, </w:t>
      </w:r>
      <w:r w:rsidR="00251D3E" w:rsidRPr="00C971BD">
        <w:rPr>
          <w:rFonts w:cs="Times New Roman"/>
        </w:rPr>
        <w:t>enrolled in an eligible institution</w:t>
      </w:r>
      <w:r w:rsidR="00A54217">
        <w:rPr>
          <w:rFonts w:cs="Times New Roman"/>
        </w:rPr>
        <w:t xml:space="preserve"> (</w:t>
      </w:r>
      <w:r w:rsidR="00251D3E" w:rsidRPr="00C971BD">
        <w:rPr>
          <w:rFonts w:cs="Times New Roman"/>
        </w:rPr>
        <w:t>either full or part time</w:t>
      </w:r>
      <w:r w:rsidR="00A54217">
        <w:rPr>
          <w:rFonts w:cs="Times New Roman"/>
        </w:rPr>
        <w:t>)</w:t>
      </w:r>
      <w:r w:rsidR="000037EF" w:rsidRPr="00C971BD">
        <w:rPr>
          <w:rFonts w:cs="Times New Roman"/>
        </w:rPr>
        <w:t xml:space="preserve">, </w:t>
      </w:r>
      <w:r w:rsidR="000037EF" w:rsidRPr="00C971BD">
        <w:rPr>
          <w:rFonts w:cs="Times New Roman"/>
          <w:szCs w:val="24"/>
        </w:rPr>
        <w:t xml:space="preserve">and maintain a 3.0 </w:t>
      </w:r>
      <w:r w:rsidR="00A54217">
        <w:rPr>
          <w:rFonts w:cs="Times New Roman"/>
          <w:szCs w:val="24"/>
        </w:rPr>
        <w:t>GPA</w:t>
      </w:r>
      <w:r w:rsidR="00A24A54" w:rsidRPr="00C971BD">
        <w:rPr>
          <w:rFonts w:cs="Times New Roman"/>
          <w:szCs w:val="24"/>
        </w:rPr>
        <w:t>.</w:t>
      </w:r>
      <w:r w:rsidR="00A24A54" w:rsidRPr="00C971BD">
        <w:rPr>
          <w:rFonts w:cs="Times New Roman"/>
        </w:rPr>
        <w:t xml:space="preserve"> </w:t>
      </w:r>
      <w:r w:rsidR="0071096F">
        <w:rPr>
          <w:rFonts w:cs="Times New Roman"/>
        </w:rPr>
        <w:t>S</w:t>
      </w:r>
      <w:r w:rsidR="00A24A54" w:rsidRPr="00C971BD">
        <w:rPr>
          <w:rFonts w:cs="Times New Roman"/>
        </w:rPr>
        <w:t>tudent</w:t>
      </w:r>
      <w:r w:rsidR="0071096F">
        <w:rPr>
          <w:rFonts w:cs="Times New Roman"/>
        </w:rPr>
        <w:t>s</w:t>
      </w:r>
      <w:r w:rsidR="00A24A54" w:rsidRPr="00C971BD">
        <w:rPr>
          <w:rFonts w:cs="Times New Roman"/>
        </w:rPr>
        <w:t xml:space="preserve"> who lose (or </w:t>
      </w:r>
      <w:r w:rsidR="0071096F" w:rsidRPr="00C971BD">
        <w:rPr>
          <w:rFonts w:cs="Times New Roman"/>
        </w:rPr>
        <w:t>w</w:t>
      </w:r>
      <w:r w:rsidR="0071096F">
        <w:rPr>
          <w:rFonts w:cs="Times New Roman"/>
        </w:rPr>
        <w:t>ere</w:t>
      </w:r>
      <w:r w:rsidR="0071096F" w:rsidRPr="00C971BD">
        <w:rPr>
          <w:rFonts w:cs="Times New Roman"/>
        </w:rPr>
        <w:t xml:space="preserve"> </w:t>
      </w:r>
      <w:r w:rsidR="00A24A54" w:rsidRPr="00C971BD">
        <w:rPr>
          <w:rFonts w:cs="Times New Roman"/>
        </w:rPr>
        <w:t xml:space="preserve">not eligible for) HOPE can regain (or gain) it by increasing </w:t>
      </w:r>
      <w:r w:rsidR="0071096F">
        <w:rPr>
          <w:rFonts w:cs="Times New Roman"/>
        </w:rPr>
        <w:t>their</w:t>
      </w:r>
      <w:r w:rsidR="00A24A54" w:rsidRPr="00C971BD">
        <w:rPr>
          <w:rFonts w:cs="Times New Roman"/>
        </w:rPr>
        <w:t xml:space="preserve"> cumulative GPA to 3.0</w:t>
      </w:r>
      <w:r w:rsidR="0071096F">
        <w:rPr>
          <w:rFonts w:cs="Times New Roman"/>
        </w:rPr>
        <w:t>.</w:t>
      </w:r>
    </w:p>
    <w:p w:rsidR="00E65BFD" w:rsidRPr="00C971BD" w:rsidRDefault="00C971BD" w:rsidP="006A24EF">
      <w:pPr>
        <w:spacing w:line="480" w:lineRule="auto"/>
        <w:rPr>
          <w:rFonts w:cs="Times New Roman"/>
        </w:rPr>
      </w:pPr>
      <w:r>
        <w:rPr>
          <w:rFonts w:cs="Times New Roman"/>
        </w:rPr>
        <w:tab/>
      </w:r>
      <w:r w:rsidR="00251D3E" w:rsidRPr="00C971BD">
        <w:rPr>
          <w:rFonts w:cs="Times New Roman"/>
        </w:rPr>
        <w:t>The first HOPE Scholarship was awarded in September 1993</w:t>
      </w:r>
      <w:r w:rsidR="005046C9">
        <w:rPr>
          <w:rFonts w:cs="Times New Roman"/>
        </w:rPr>
        <w:t xml:space="preserve">. </w:t>
      </w:r>
      <w:r w:rsidR="00251D3E" w:rsidRPr="00C971BD">
        <w:rPr>
          <w:rFonts w:cs="Times New Roman"/>
        </w:rPr>
        <w:t xml:space="preserve">The initial HOPE Scholarship paid </w:t>
      </w:r>
      <w:r w:rsidR="00B20A30">
        <w:rPr>
          <w:rFonts w:cs="Times New Roman"/>
        </w:rPr>
        <w:t>full</w:t>
      </w:r>
      <w:r w:rsidR="00B20A30" w:rsidRPr="00C971BD">
        <w:rPr>
          <w:rFonts w:cs="Times New Roman"/>
        </w:rPr>
        <w:t xml:space="preserve"> </w:t>
      </w:r>
      <w:r w:rsidR="00251D3E" w:rsidRPr="00C971BD">
        <w:rPr>
          <w:rFonts w:cs="Times New Roman"/>
        </w:rPr>
        <w:t>tuition</w:t>
      </w:r>
      <w:r w:rsidR="00B20A30">
        <w:rPr>
          <w:rFonts w:cs="Times New Roman"/>
        </w:rPr>
        <w:t xml:space="preserve"> at public colleges and universities</w:t>
      </w:r>
      <w:r w:rsidR="00251D3E" w:rsidRPr="00C971BD">
        <w:rPr>
          <w:rFonts w:cs="Times New Roman"/>
        </w:rPr>
        <w:t>, net of any Pell award (students were required to apply for Pell), for only two years</w:t>
      </w:r>
      <w:r w:rsidR="004D39D9">
        <w:rPr>
          <w:rFonts w:cs="Times New Roman"/>
        </w:rPr>
        <w:t xml:space="preserve"> of schooling</w:t>
      </w:r>
      <w:r w:rsidR="005046C9">
        <w:rPr>
          <w:rFonts w:cs="Times New Roman"/>
        </w:rPr>
        <w:t xml:space="preserve">. </w:t>
      </w:r>
      <w:r w:rsidR="00251D3E" w:rsidRPr="00C971BD">
        <w:rPr>
          <w:rFonts w:cs="Times New Roman"/>
        </w:rPr>
        <w:t>Eligibility was restricted to high school graduates in 1993 or later who graduated with at least a B average and came from families with income of $66,000 or less</w:t>
      </w:r>
      <w:r w:rsidR="005046C9">
        <w:rPr>
          <w:rFonts w:cs="Times New Roman"/>
        </w:rPr>
        <w:t xml:space="preserve">. </w:t>
      </w:r>
      <w:r w:rsidR="00251D3E" w:rsidRPr="00C971BD">
        <w:rPr>
          <w:rFonts w:cs="Times New Roman"/>
        </w:rPr>
        <w:t>There was no income cap for students attending private colleges</w:t>
      </w:r>
      <w:r w:rsidR="005046C9">
        <w:rPr>
          <w:rFonts w:cs="Times New Roman"/>
        </w:rPr>
        <w:t xml:space="preserve">. </w:t>
      </w:r>
      <w:r w:rsidR="00251D3E" w:rsidRPr="00C971BD">
        <w:rPr>
          <w:rFonts w:cs="Times New Roman"/>
        </w:rPr>
        <w:t xml:space="preserve">Eligible students attending private </w:t>
      </w:r>
      <w:r w:rsidR="00B45E8A">
        <w:rPr>
          <w:rFonts w:cs="Times New Roman"/>
        </w:rPr>
        <w:t>college</w:t>
      </w:r>
      <w:r w:rsidR="00B45E8A" w:rsidRPr="00C971BD">
        <w:rPr>
          <w:rFonts w:cs="Times New Roman"/>
        </w:rPr>
        <w:t xml:space="preserve">s </w:t>
      </w:r>
      <w:r w:rsidR="00251D3E" w:rsidRPr="00C971BD">
        <w:rPr>
          <w:rFonts w:cs="Times New Roman"/>
        </w:rPr>
        <w:t xml:space="preserve">were given $500 </w:t>
      </w:r>
      <w:r w:rsidR="0045535F">
        <w:rPr>
          <w:rFonts w:cs="Times New Roman"/>
        </w:rPr>
        <w:t>s</w:t>
      </w:r>
      <w:r w:rsidR="00251D3E" w:rsidRPr="00C971BD">
        <w:rPr>
          <w:rFonts w:cs="Times New Roman"/>
        </w:rPr>
        <w:t>cholarships for each of the first two years of college</w:t>
      </w:r>
      <w:r w:rsidR="002B6561">
        <w:rPr>
          <w:rFonts w:cs="Times New Roman"/>
        </w:rPr>
        <w:t>; this has been increased several times and is now $4,000</w:t>
      </w:r>
      <w:r w:rsidR="005046C9">
        <w:rPr>
          <w:rFonts w:cs="Times New Roman"/>
        </w:rPr>
        <w:t xml:space="preserve">. </w:t>
      </w:r>
    </w:p>
    <w:p w:rsidR="00251D3E" w:rsidRPr="00C971BD" w:rsidRDefault="00C971BD" w:rsidP="006A24EF">
      <w:pPr>
        <w:spacing w:line="480" w:lineRule="auto"/>
        <w:rPr>
          <w:rFonts w:cs="Times New Roman"/>
        </w:rPr>
      </w:pPr>
      <w:r>
        <w:rPr>
          <w:rFonts w:cs="Times New Roman"/>
        </w:rPr>
        <w:tab/>
      </w:r>
      <w:r w:rsidR="00251D3E" w:rsidRPr="00C971BD">
        <w:rPr>
          <w:rFonts w:cs="Times New Roman"/>
        </w:rPr>
        <w:t>Many changes to the program have been made since 1993</w:t>
      </w:r>
      <w:r w:rsidR="00A54217">
        <w:rPr>
          <w:rFonts w:cs="Times New Roman"/>
        </w:rPr>
        <w:t>, the most</w:t>
      </w:r>
      <w:r w:rsidR="00251D3E" w:rsidRPr="00C971BD">
        <w:rPr>
          <w:rFonts w:cs="Times New Roman"/>
        </w:rPr>
        <w:t xml:space="preserve"> significant </w:t>
      </w:r>
      <w:r w:rsidR="00A54217">
        <w:rPr>
          <w:rFonts w:cs="Times New Roman"/>
        </w:rPr>
        <w:t>of which are the f</w:t>
      </w:r>
      <w:r w:rsidR="00251D3E" w:rsidRPr="00C971BD">
        <w:rPr>
          <w:rFonts w:cs="Times New Roman"/>
        </w:rPr>
        <w:t>ollowing:</w:t>
      </w:r>
    </w:p>
    <w:p w:rsidR="00251D3E" w:rsidRPr="00C971BD" w:rsidRDefault="00A24A54" w:rsidP="006A24EF">
      <w:pPr>
        <w:pStyle w:val="ListParagraph"/>
        <w:numPr>
          <w:ilvl w:val="0"/>
          <w:numId w:val="13"/>
        </w:numPr>
        <w:spacing w:after="0" w:line="480" w:lineRule="auto"/>
        <w:rPr>
          <w:rFonts w:ascii="Times New Roman" w:hAnsi="Times New Roman" w:cs="Times New Roman"/>
        </w:rPr>
      </w:pPr>
      <w:r w:rsidRPr="00C971BD">
        <w:rPr>
          <w:rFonts w:ascii="Times New Roman" w:hAnsi="Times New Roman" w:cs="Times New Roman"/>
        </w:rPr>
        <w:t xml:space="preserve">In </w:t>
      </w:r>
      <w:r w:rsidR="001C17FB" w:rsidRPr="00C971BD">
        <w:rPr>
          <w:rFonts w:ascii="Times New Roman" w:hAnsi="Times New Roman" w:cs="Times New Roman"/>
        </w:rPr>
        <w:t>1994</w:t>
      </w:r>
      <w:r w:rsidR="00A54217">
        <w:rPr>
          <w:rFonts w:ascii="Times New Roman" w:hAnsi="Times New Roman" w:cs="Times New Roman"/>
        </w:rPr>
        <w:t>,</w:t>
      </w:r>
      <w:r w:rsidRPr="00C971BD">
        <w:rPr>
          <w:rFonts w:ascii="Times New Roman" w:hAnsi="Times New Roman" w:cs="Times New Roman"/>
        </w:rPr>
        <w:t xml:space="preserve"> </w:t>
      </w:r>
      <w:r w:rsidR="00251D3E" w:rsidRPr="00C971BD">
        <w:rPr>
          <w:rFonts w:ascii="Times New Roman" w:hAnsi="Times New Roman" w:cs="Times New Roman"/>
        </w:rPr>
        <w:t>HOPE Scholarship was expanded to cover 4 years of college</w:t>
      </w:r>
      <w:r w:rsidRPr="00C971BD">
        <w:rPr>
          <w:rFonts w:ascii="Times New Roman" w:hAnsi="Times New Roman" w:cs="Times New Roman"/>
        </w:rPr>
        <w:t xml:space="preserve"> and t</w:t>
      </w:r>
      <w:r w:rsidR="00251D3E" w:rsidRPr="00C971BD">
        <w:rPr>
          <w:rFonts w:ascii="Times New Roman" w:hAnsi="Times New Roman" w:cs="Times New Roman"/>
        </w:rPr>
        <w:t>he income cap was increased to $100,000 for students attending public colleges.</w:t>
      </w:r>
    </w:p>
    <w:p w:rsidR="00251D3E" w:rsidRPr="00C971BD" w:rsidRDefault="00A24A54" w:rsidP="006A24EF">
      <w:pPr>
        <w:pStyle w:val="ListParagraph"/>
        <w:numPr>
          <w:ilvl w:val="0"/>
          <w:numId w:val="13"/>
        </w:numPr>
        <w:spacing w:after="0" w:line="480" w:lineRule="auto"/>
        <w:rPr>
          <w:rFonts w:ascii="Times New Roman" w:hAnsi="Times New Roman" w:cs="Times New Roman"/>
        </w:rPr>
      </w:pPr>
      <w:r w:rsidRPr="00C971BD">
        <w:rPr>
          <w:rFonts w:ascii="Times New Roman" w:hAnsi="Times New Roman" w:cs="Times New Roman"/>
        </w:rPr>
        <w:t xml:space="preserve">In </w:t>
      </w:r>
      <w:r w:rsidR="00251D3E" w:rsidRPr="00C971BD">
        <w:rPr>
          <w:rFonts w:ascii="Times New Roman" w:hAnsi="Times New Roman" w:cs="Times New Roman"/>
        </w:rPr>
        <w:t>1995</w:t>
      </w:r>
      <w:r w:rsidR="0045535F">
        <w:rPr>
          <w:rFonts w:ascii="Times New Roman" w:hAnsi="Times New Roman" w:cs="Times New Roman"/>
        </w:rPr>
        <w:t>,</w:t>
      </w:r>
      <w:r w:rsidRPr="00C971BD">
        <w:rPr>
          <w:rFonts w:ascii="Times New Roman" w:hAnsi="Times New Roman" w:cs="Times New Roman"/>
        </w:rPr>
        <w:t xml:space="preserve"> s</w:t>
      </w:r>
      <w:r w:rsidR="00251D3E" w:rsidRPr="00C971BD">
        <w:rPr>
          <w:rFonts w:ascii="Times New Roman" w:hAnsi="Times New Roman" w:cs="Times New Roman"/>
        </w:rPr>
        <w:t xml:space="preserve">tudents who lost the HOPE Scholarship after the freshman year were given the </w:t>
      </w:r>
      <w:r w:rsidR="00336D4D">
        <w:rPr>
          <w:rFonts w:ascii="Times New Roman" w:hAnsi="Times New Roman" w:cs="Times New Roman"/>
        </w:rPr>
        <w:t>opportunity to regain</w:t>
      </w:r>
      <w:r w:rsidR="00251D3E" w:rsidRPr="00C971BD">
        <w:rPr>
          <w:rFonts w:ascii="Times New Roman" w:hAnsi="Times New Roman" w:cs="Times New Roman"/>
        </w:rPr>
        <w:t xml:space="preserve"> HOPE if they inc</w:t>
      </w:r>
      <w:r w:rsidR="00A54217">
        <w:rPr>
          <w:rFonts w:ascii="Times New Roman" w:hAnsi="Times New Roman" w:cs="Times New Roman"/>
        </w:rPr>
        <w:t>r</w:t>
      </w:r>
      <w:r w:rsidR="0045535F">
        <w:rPr>
          <w:rFonts w:ascii="Times New Roman" w:hAnsi="Times New Roman" w:cs="Times New Roman"/>
        </w:rPr>
        <w:t>eased their overall GPA to 3.0,</w:t>
      </w:r>
      <w:r w:rsidRPr="00C971BD">
        <w:rPr>
          <w:rFonts w:ascii="Times New Roman" w:hAnsi="Times New Roman" w:cs="Times New Roman"/>
        </w:rPr>
        <w:t xml:space="preserve"> n</w:t>
      </w:r>
      <w:r w:rsidR="00251D3E" w:rsidRPr="00C971BD">
        <w:rPr>
          <w:rFonts w:ascii="Times New Roman" w:hAnsi="Times New Roman" w:cs="Times New Roman"/>
        </w:rPr>
        <w:t>on</w:t>
      </w:r>
      <w:r w:rsidR="00A54217">
        <w:rPr>
          <w:rFonts w:ascii="Times New Roman" w:hAnsi="Times New Roman" w:cs="Times New Roman"/>
        </w:rPr>
        <w:t>t</w:t>
      </w:r>
      <w:r w:rsidR="00251D3E" w:rsidRPr="00C971BD">
        <w:rPr>
          <w:rFonts w:ascii="Times New Roman" w:hAnsi="Times New Roman" w:cs="Times New Roman"/>
        </w:rPr>
        <w:t>raditional students</w:t>
      </w:r>
      <w:r w:rsidR="0045535F">
        <w:rPr>
          <w:rFonts w:ascii="Times New Roman" w:hAnsi="Times New Roman" w:cs="Times New Roman"/>
        </w:rPr>
        <w:t xml:space="preserve"> (</w:t>
      </w:r>
      <w:r w:rsidR="00251D3E" w:rsidRPr="00C971BD">
        <w:rPr>
          <w:rFonts w:ascii="Times New Roman" w:hAnsi="Times New Roman" w:cs="Times New Roman"/>
        </w:rPr>
        <w:t>i.e., those who graduated before 1993</w:t>
      </w:r>
      <w:r w:rsidR="0045535F">
        <w:rPr>
          <w:rFonts w:ascii="Times New Roman" w:hAnsi="Times New Roman" w:cs="Times New Roman"/>
        </w:rPr>
        <w:t>)</w:t>
      </w:r>
      <w:r w:rsidR="00251D3E" w:rsidRPr="00C971BD">
        <w:rPr>
          <w:rFonts w:ascii="Times New Roman" w:hAnsi="Times New Roman" w:cs="Times New Roman"/>
        </w:rPr>
        <w:t xml:space="preserve"> </w:t>
      </w:r>
      <w:r w:rsidR="00A54217">
        <w:rPr>
          <w:rFonts w:ascii="Times New Roman" w:hAnsi="Times New Roman" w:cs="Times New Roman"/>
        </w:rPr>
        <w:t>were made eligible</w:t>
      </w:r>
      <w:r w:rsidR="0045535F">
        <w:rPr>
          <w:rFonts w:ascii="Times New Roman" w:hAnsi="Times New Roman" w:cs="Times New Roman"/>
        </w:rPr>
        <w:t>, and</w:t>
      </w:r>
      <w:r w:rsidR="00A54217">
        <w:rPr>
          <w:rFonts w:ascii="Times New Roman" w:hAnsi="Times New Roman" w:cs="Times New Roman"/>
        </w:rPr>
        <w:t xml:space="preserve"> t</w:t>
      </w:r>
      <w:r w:rsidR="00251D3E" w:rsidRPr="00C971BD">
        <w:rPr>
          <w:rFonts w:ascii="Times New Roman" w:hAnsi="Times New Roman" w:cs="Times New Roman"/>
        </w:rPr>
        <w:t>he income cap was completely removed.</w:t>
      </w:r>
    </w:p>
    <w:p w:rsidR="00251D3E" w:rsidRPr="00C971BD" w:rsidRDefault="00A24A54" w:rsidP="006A24EF">
      <w:pPr>
        <w:pStyle w:val="ListParagraph"/>
        <w:numPr>
          <w:ilvl w:val="0"/>
          <w:numId w:val="17"/>
        </w:numPr>
        <w:spacing w:after="0" w:line="480" w:lineRule="auto"/>
        <w:rPr>
          <w:rFonts w:ascii="Times New Roman" w:hAnsi="Times New Roman" w:cs="Times New Roman"/>
        </w:rPr>
      </w:pPr>
      <w:r w:rsidRPr="00C971BD">
        <w:rPr>
          <w:rFonts w:ascii="Times New Roman" w:hAnsi="Times New Roman" w:cs="Times New Roman"/>
        </w:rPr>
        <w:t>In 1</w:t>
      </w:r>
      <w:r w:rsidR="00251D3E" w:rsidRPr="00C971BD">
        <w:rPr>
          <w:rFonts w:ascii="Times New Roman" w:hAnsi="Times New Roman" w:cs="Times New Roman"/>
        </w:rPr>
        <w:t>998</w:t>
      </w:r>
      <w:r w:rsidR="00A54217">
        <w:rPr>
          <w:rFonts w:ascii="Times New Roman" w:hAnsi="Times New Roman" w:cs="Times New Roman"/>
        </w:rPr>
        <w:t>,</w:t>
      </w:r>
      <w:r w:rsidR="00251D3E" w:rsidRPr="00C971BD">
        <w:rPr>
          <w:rFonts w:ascii="Times New Roman" w:hAnsi="Times New Roman" w:cs="Times New Roman"/>
        </w:rPr>
        <w:t xml:space="preserve"> </w:t>
      </w:r>
      <w:r w:rsidRPr="00C971BD">
        <w:rPr>
          <w:rFonts w:ascii="Times New Roman" w:hAnsi="Times New Roman" w:cs="Times New Roman"/>
        </w:rPr>
        <w:t>h</w:t>
      </w:r>
      <w:r w:rsidR="00251D3E" w:rsidRPr="00C971BD">
        <w:rPr>
          <w:rFonts w:ascii="Times New Roman" w:hAnsi="Times New Roman" w:cs="Times New Roman"/>
        </w:rPr>
        <w:t xml:space="preserve">ome schooled students </w:t>
      </w:r>
      <w:r w:rsidR="00A54217">
        <w:rPr>
          <w:rFonts w:ascii="Times New Roman" w:hAnsi="Times New Roman" w:cs="Times New Roman"/>
        </w:rPr>
        <w:t>became eligible</w:t>
      </w:r>
      <w:r w:rsidR="00251D3E" w:rsidRPr="00C971BD">
        <w:rPr>
          <w:rFonts w:ascii="Times New Roman" w:hAnsi="Times New Roman" w:cs="Times New Roman"/>
        </w:rPr>
        <w:t>.</w:t>
      </w:r>
    </w:p>
    <w:p w:rsidR="00251D3E" w:rsidRPr="00C971BD" w:rsidRDefault="00A24A54" w:rsidP="006A24EF">
      <w:pPr>
        <w:pStyle w:val="ListParagraph"/>
        <w:numPr>
          <w:ilvl w:val="0"/>
          <w:numId w:val="17"/>
        </w:numPr>
        <w:spacing w:after="0" w:line="480" w:lineRule="auto"/>
        <w:rPr>
          <w:rFonts w:ascii="Times New Roman" w:hAnsi="Times New Roman" w:cs="Times New Roman"/>
        </w:rPr>
      </w:pPr>
      <w:r w:rsidRPr="00C971BD">
        <w:rPr>
          <w:rFonts w:ascii="Times New Roman" w:hAnsi="Times New Roman" w:cs="Times New Roman"/>
        </w:rPr>
        <w:t>In 2000</w:t>
      </w:r>
      <w:r w:rsidR="00A54217">
        <w:rPr>
          <w:rFonts w:ascii="Times New Roman" w:hAnsi="Times New Roman" w:cs="Times New Roman"/>
        </w:rPr>
        <w:t>,</w:t>
      </w:r>
      <w:r w:rsidRPr="00C971BD">
        <w:rPr>
          <w:rFonts w:ascii="Times New Roman" w:hAnsi="Times New Roman" w:cs="Times New Roman"/>
        </w:rPr>
        <w:t xml:space="preserve"> the Pell o</w:t>
      </w:r>
      <w:r w:rsidR="00251D3E" w:rsidRPr="00C971BD">
        <w:rPr>
          <w:rFonts w:ascii="Times New Roman" w:hAnsi="Times New Roman" w:cs="Times New Roman"/>
        </w:rPr>
        <w:t>ffset</w:t>
      </w:r>
      <w:r w:rsidRPr="00C971BD">
        <w:rPr>
          <w:rFonts w:ascii="Times New Roman" w:hAnsi="Times New Roman" w:cs="Times New Roman"/>
        </w:rPr>
        <w:t xml:space="preserve"> was</w:t>
      </w:r>
      <w:r w:rsidR="00251D3E" w:rsidRPr="00C971BD">
        <w:rPr>
          <w:rFonts w:ascii="Times New Roman" w:hAnsi="Times New Roman" w:cs="Times New Roman"/>
        </w:rPr>
        <w:t xml:space="preserve"> removed.</w:t>
      </w:r>
    </w:p>
    <w:p w:rsidR="00C971BD" w:rsidRDefault="00A24A54" w:rsidP="006A24EF">
      <w:pPr>
        <w:spacing w:after="0" w:line="480" w:lineRule="auto"/>
        <w:ind w:firstLine="360"/>
        <w:rPr>
          <w:rFonts w:cs="Times New Roman"/>
        </w:rPr>
      </w:pPr>
      <w:r w:rsidRPr="00C971BD">
        <w:rPr>
          <w:rFonts w:cs="Times New Roman"/>
        </w:rPr>
        <w:lastRenderedPageBreak/>
        <w:t>In the 2011 session of the Georgia General Assembly, several changes were made to HOPE.</w:t>
      </w:r>
      <w:r w:rsidR="002B6561">
        <w:rPr>
          <w:rFonts w:cs="Times New Roman"/>
        </w:rPr>
        <w:t xml:space="preserve"> In particular,</w:t>
      </w:r>
      <w:r w:rsidRPr="00C971BD">
        <w:rPr>
          <w:rFonts w:cs="Times New Roman"/>
        </w:rPr>
        <w:t xml:space="preserve"> HOPE</w:t>
      </w:r>
      <w:r w:rsidR="00A54217">
        <w:rPr>
          <w:rFonts w:cs="Times New Roman"/>
        </w:rPr>
        <w:t xml:space="preserve"> will</w:t>
      </w:r>
      <w:r w:rsidRPr="00C971BD">
        <w:rPr>
          <w:rFonts w:cs="Times New Roman"/>
        </w:rPr>
        <w:t xml:space="preserve"> no longer cover full tuition except f</w:t>
      </w:r>
      <w:r w:rsidR="00A54217">
        <w:rPr>
          <w:rFonts w:cs="Times New Roman"/>
        </w:rPr>
        <w:t>or students with a GPA of 3.7</w:t>
      </w:r>
      <w:r w:rsidR="0045535F">
        <w:rPr>
          <w:rFonts w:cs="Times New Roman"/>
        </w:rPr>
        <w:t>. In addition there is no longer</w:t>
      </w:r>
      <w:r w:rsidR="002B6561">
        <w:rPr>
          <w:rFonts w:cs="Times New Roman"/>
        </w:rPr>
        <w:t xml:space="preserve"> a </w:t>
      </w:r>
      <w:r w:rsidRPr="00C971BD">
        <w:rPr>
          <w:rFonts w:cs="Times New Roman"/>
        </w:rPr>
        <w:t>book allowance and fees are no</w:t>
      </w:r>
      <w:r w:rsidR="002B6561">
        <w:rPr>
          <w:rFonts w:cs="Times New Roman"/>
        </w:rPr>
        <w:t xml:space="preserve"> longer</w:t>
      </w:r>
      <w:r w:rsidRPr="00C971BD">
        <w:rPr>
          <w:rFonts w:cs="Times New Roman"/>
        </w:rPr>
        <w:t xml:space="preserve"> covered. </w:t>
      </w:r>
      <w:r w:rsidR="00A54217">
        <w:rPr>
          <w:rFonts w:cs="Times New Roman"/>
        </w:rPr>
        <w:t>These changes were made because lottery revenue was not keeping pace with the increase in HOPE scholarships and grants.</w:t>
      </w:r>
    </w:p>
    <w:p w:rsidR="00016BA9" w:rsidRDefault="00016BA9" w:rsidP="006A24EF">
      <w:pPr>
        <w:spacing w:line="276" w:lineRule="auto"/>
        <w:contextualSpacing w:val="0"/>
        <w:rPr>
          <w:rFonts w:cs="Times New Roman"/>
        </w:rPr>
      </w:pPr>
    </w:p>
    <w:p w:rsidR="007D58B4" w:rsidRPr="0083682E" w:rsidRDefault="0083682E" w:rsidP="0083682E">
      <w:pPr>
        <w:spacing w:line="480" w:lineRule="auto"/>
        <w:rPr>
          <w:rFonts w:cs="Times New Roman"/>
          <w:b/>
        </w:rPr>
      </w:pPr>
      <w:r>
        <w:rPr>
          <w:rFonts w:cs="Times New Roman"/>
          <w:b/>
        </w:rPr>
        <w:t xml:space="preserve">III. </w:t>
      </w:r>
      <w:r w:rsidR="007D58B4" w:rsidRPr="0083682E">
        <w:rPr>
          <w:rFonts w:cs="Times New Roman"/>
          <w:b/>
        </w:rPr>
        <w:t xml:space="preserve">Decomposing Changes in Retention </w:t>
      </w:r>
    </w:p>
    <w:p w:rsidR="008D6309" w:rsidRDefault="00BE047F" w:rsidP="002C500B">
      <w:pPr>
        <w:autoSpaceDE w:val="0"/>
        <w:autoSpaceDN w:val="0"/>
        <w:adjustRightInd w:val="0"/>
        <w:spacing w:line="480" w:lineRule="auto"/>
        <w:ind w:firstLine="720"/>
      </w:pPr>
      <w:r>
        <w:t>In this section we</w:t>
      </w:r>
      <w:r w:rsidR="008D6309">
        <w:t xml:space="preserve"> </w:t>
      </w:r>
      <w:r>
        <w:t>discuss how HOPE might affect</w:t>
      </w:r>
      <w:r w:rsidR="008D6309">
        <w:t xml:space="preserve"> post-college</w:t>
      </w:r>
      <w:r>
        <w:t xml:space="preserve"> retention</w:t>
      </w:r>
      <w:r w:rsidR="008D6309">
        <w:t xml:space="preserve">. We first consider the </w:t>
      </w:r>
      <w:r w:rsidR="003B001E">
        <w:t>USG-approach</w:t>
      </w:r>
      <w:r w:rsidR="008D6309">
        <w:t xml:space="preserve"> in which treatment is defined as having received a HOPE Scholarship, so we are considering </w:t>
      </w:r>
      <w:r w:rsidR="002C500B">
        <w:t xml:space="preserve">whether the HOPE Scholarship program affected the post-college retention </w:t>
      </w:r>
      <w:r w:rsidR="00A76455">
        <w:t xml:space="preserve">of </w:t>
      </w:r>
      <w:r w:rsidR="001C53CB">
        <w:t>students enrolled in the USG</w:t>
      </w:r>
      <w:r w:rsidR="005046C9">
        <w:t xml:space="preserve">. </w:t>
      </w:r>
      <w:r w:rsidR="004B5EB5">
        <w:t xml:space="preserve">For </w:t>
      </w:r>
      <w:r w:rsidR="003B001E">
        <w:t>the</w:t>
      </w:r>
      <w:r>
        <w:t xml:space="preserve"> </w:t>
      </w:r>
      <w:r w:rsidR="003B001E">
        <w:t>USG-</w:t>
      </w:r>
      <w:r>
        <w:t xml:space="preserve">approach </w:t>
      </w:r>
      <w:r w:rsidR="004B5EB5">
        <w:t>retention refers to a student being employed in Georgia after completing college education</w:t>
      </w:r>
      <w:r w:rsidR="008D6309">
        <w:t>, while for the Hickman-approach retention refers to a student who resides in Georgia after completing college education</w:t>
      </w:r>
      <w:r w:rsidR="005046C9">
        <w:t xml:space="preserve">. </w:t>
      </w:r>
    </w:p>
    <w:p w:rsidR="002C500B" w:rsidRDefault="002C500B" w:rsidP="002C500B">
      <w:pPr>
        <w:autoSpaceDE w:val="0"/>
        <w:autoSpaceDN w:val="0"/>
        <w:adjustRightInd w:val="0"/>
        <w:spacing w:line="480" w:lineRule="auto"/>
        <w:ind w:firstLine="720"/>
      </w:pPr>
      <w:r>
        <w:t>HOPE could affect the</w:t>
      </w:r>
      <w:r w:rsidR="00945746">
        <w:t xml:space="preserve"> USG</w:t>
      </w:r>
      <w:r w:rsidR="003B001E">
        <w:t>-approach</w:t>
      </w:r>
      <w:r>
        <w:t xml:space="preserve"> retention rate in two ways</w:t>
      </w:r>
      <w:r w:rsidR="005046C9">
        <w:t xml:space="preserve">. </w:t>
      </w:r>
      <w:r>
        <w:t xml:space="preserve">First, HOPE might increase (or decrease) the retention rate of </w:t>
      </w:r>
      <w:r w:rsidR="00DF00F6">
        <w:t xml:space="preserve">HOPE </w:t>
      </w:r>
      <w:r>
        <w:t xml:space="preserve">students who would have gone to college in Georgia </w:t>
      </w:r>
      <w:r w:rsidR="00DF00F6">
        <w:t>even</w:t>
      </w:r>
      <w:r>
        <w:t xml:space="preserve"> without HOPE</w:t>
      </w:r>
      <w:r w:rsidR="005046C9">
        <w:t xml:space="preserve">. </w:t>
      </w:r>
      <w:r>
        <w:t xml:space="preserve">We are unable to develop what we consider strong </w:t>
      </w:r>
      <w:r w:rsidR="00795D02">
        <w:t>arguments</w:t>
      </w:r>
      <w:r>
        <w:t xml:space="preserve"> for why HOPE might </w:t>
      </w:r>
      <w:r w:rsidR="00DF00F6">
        <w:t>affect retention of such students</w:t>
      </w:r>
      <w:r w:rsidR="008F719C">
        <w:t>.</w:t>
      </w:r>
      <w:r w:rsidR="00567F46">
        <w:t xml:space="preserve"> </w:t>
      </w:r>
      <w:r w:rsidR="008F719C">
        <w:t>There are no</w:t>
      </w:r>
      <w:r w:rsidR="00D12126">
        <w:t xml:space="preserve"> HOPE-related</w:t>
      </w:r>
      <w:r w:rsidR="008F719C">
        <w:t xml:space="preserve"> financial incentives </w:t>
      </w:r>
      <w:r w:rsidR="003B001E">
        <w:t xml:space="preserve">or requirements </w:t>
      </w:r>
      <w:r w:rsidR="008F719C">
        <w:t xml:space="preserve">to remain in state after completing college; for example, </w:t>
      </w:r>
      <w:r>
        <w:t>HOPE does not require students to work in the state upon graduation from college</w:t>
      </w:r>
      <w:r w:rsidR="005046C9">
        <w:t xml:space="preserve">. </w:t>
      </w:r>
      <w:r w:rsidR="008F719C">
        <w:t>However</w:t>
      </w:r>
      <w:r>
        <w:t xml:space="preserve">, some </w:t>
      </w:r>
      <w:r w:rsidR="008F719C">
        <w:t xml:space="preserve">HOPE </w:t>
      </w:r>
      <w:r>
        <w:t>students who might otherwise have moved out-of-state may feel some obligation to remain in the state upon completing their college education</w:t>
      </w:r>
      <w:r w:rsidR="008F719C">
        <w:t xml:space="preserve">, or receiving a HOPE scholarship may </w:t>
      </w:r>
      <w:r w:rsidR="004B5EB5">
        <w:t xml:space="preserve">have a halo effect that </w:t>
      </w:r>
      <w:r w:rsidR="008F719C">
        <w:t>increase</w:t>
      </w:r>
      <w:r w:rsidR="004B5EB5">
        <w:t>s</w:t>
      </w:r>
      <w:r w:rsidR="008F719C">
        <w:t xml:space="preserve"> the possibility of obtaining a good job in Georgia</w:t>
      </w:r>
      <w:r w:rsidR="005046C9">
        <w:t xml:space="preserve">. </w:t>
      </w:r>
      <w:r w:rsidR="00795D02">
        <w:t>Since HOPE reduces the amount a student or his family must pay or borrow for college, t</w:t>
      </w:r>
      <w:r w:rsidR="0015609A">
        <w:t>he</w:t>
      </w:r>
      <w:r w:rsidR="00D12126">
        <w:t xml:space="preserve">re is a potential </w:t>
      </w:r>
      <w:r w:rsidR="00E94682">
        <w:t>wealth</w:t>
      </w:r>
      <w:r w:rsidR="00D12126">
        <w:t xml:space="preserve"> effect</w:t>
      </w:r>
      <w:r w:rsidR="0015609A">
        <w:t xml:space="preserve"> </w:t>
      </w:r>
      <w:r w:rsidR="00D12126">
        <w:lastRenderedPageBreak/>
        <w:t xml:space="preserve">of the </w:t>
      </w:r>
      <w:r w:rsidR="0015609A">
        <w:t>HOPE Scholarship, which could affect the student’s post-college location decision</w:t>
      </w:r>
      <w:r w:rsidR="005046C9">
        <w:t>.</w:t>
      </w:r>
      <w:r w:rsidR="00E94682">
        <w:rPr>
          <w:rStyle w:val="FootnoteReference"/>
        </w:rPr>
        <w:footnoteReference w:id="11"/>
      </w:r>
      <w:r w:rsidR="005046C9">
        <w:t xml:space="preserve"> </w:t>
      </w:r>
      <w:r>
        <w:t>We are unable to isolate this direct effect of HOPE on such students</w:t>
      </w:r>
      <w:r w:rsidR="00D12126">
        <w:t xml:space="preserve">, but our prior </w:t>
      </w:r>
      <w:r w:rsidR="000B07DE">
        <w:t xml:space="preserve">is </w:t>
      </w:r>
      <w:r w:rsidR="00D12126">
        <w:t>that HOPE will not affect the retention rate from these students</w:t>
      </w:r>
      <w:r w:rsidR="005046C9">
        <w:t xml:space="preserve">. </w:t>
      </w:r>
    </w:p>
    <w:p w:rsidR="002C500B" w:rsidRDefault="002C500B" w:rsidP="002C500B">
      <w:pPr>
        <w:autoSpaceDE w:val="0"/>
        <w:autoSpaceDN w:val="0"/>
        <w:adjustRightInd w:val="0"/>
        <w:spacing w:line="480" w:lineRule="auto"/>
        <w:ind w:firstLine="720"/>
      </w:pPr>
      <w:r>
        <w:t>Second, HOPE could have an indirect effect on retention due to its effect on the composition of the student body</w:t>
      </w:r>
      <w:r w:rsidR="005046C9">
        <w:t xml:space="preserve">. </w:t>
      </w:r>
      <w:r>
        <w:t>For example, Dynarski (2000, 2002, 2004) and Cornwell</w:t>
      </w:r>
      <w:r w:rsidR="00C75571">
        <w:t xml:space="preserve"> et al.</w:t>
      </w:r>
      <w:r>
        <w:t xml:space="preserve"> (2006) find that HOPE increases the percentage of </w:t>
      </w:r>
      <w:r w:rsidR="0032653A">
        <w:t>Georgia</w:t>
      </w:r>
      <w:r>
        <w:t xml:space="preserve"> high school graduates who go to college, that HOPE increases the percentage of HOPE-eligible students who enroll in four-year schools rather than two-year colleges, and that HOPE causes some students who would have gone to college out-of-state to attend in-state schools instead.</w:t>
      </w:r>
      <w:r w:rsidR="0032653A">
        <w:rPr>
          <w:rStyle w:val="FootnoteReference"/>
        </w:rPr>
        <w:footnoteReference w:id="12"/>
      </w:r>
      <w:r w:rsidR="00567F46">
        <w:t xml:space="preserve"> </w:t>
      </w:r>
      <w:r>
        <w:t>These students might have different propensities to remain in-state upon graduation than do other students</w:t>
      </w:r>
      <w:r w:rsidR="005046C9">
        <w:t xml:space="preserve">. </w:t>
      </w:r>
      <w:r>
        <w:t>In particular, if HOPE increases the share of in-state college enrollment among students who have a higher than average propensity to live in another state, the retention rate will fall</w:t>
      </w:r>
      <w:r w:rsidR="005046C9">
        <w:t xml:space="preserve">. </w:t>
      </w:r>
      <w:r w:rsidR="00B073C9">
        <w:t xml:space="preserve">We cannot identify </w:t>
      </w:r>
      <w:r w:rsidR="00D12126">
        <w:t xml:space="preserve">those </w:t>
      </w:r>
      <w:r w:rsidR="00B073C9">
        <w:t xml:space="preserve">HOPE Scholars who in the absence of the HOPE program would have gone to college out of state. </w:t>
      </w:r>
      <w:r>
        <w:t>Thus, we measure the effect of HOPE on the retention rate, where the change in the retention rate consists of the change in the direct effect of HOPE and the indirect effect due to the change in the composition of the student body due to HOPE.</w:t>
      </w:r>
      <w:r>
        <w:rPr>
          <w:rStyle w:val="FootnoteReference"/>
        </w:rPr>
        <w:footnoteReference w:id="13"/>
      </w:r>
      <w:r w:rsidRPr="00504BCA">
        <w:t xml:space="preserve"> </w:t>
      </w:r>
    </w:p>
    <w:p w:rsidR="00D12126" w:rsidRDefault="002C500B" w:rsidP="006551DF">
      <w:pPr>
        <w:spacing w:line="480" w:lineRule="auto"/>
        <w:ind w:firstLine="720"/>
        <w:rPr>
          <w:rFonts w:cs="Times New Roman"/>
        </w:rPr>
      </w:pPr>
      <w:r>
        <w:rPr>
          <w:rFonts w:cs="Times New Roman"/>
        </w:rPr>
        <w:t>The following is a more formal discussion and presents an accounting framework to decompose possible changes in retention due to Georgia’s HOPE program</w:t>
      </w:r>
      <w:r w:rsidR="005046C9">
        <w:rPr>
          <w:rFonts w:cs="Times New Roman"/>
        </w:rPr>
        <w:t xml:space="preserve">. </w:t>
      </w:r>
      <w:r w:rsidR="007D58B4">
        <w:rPr>
          <w:rFonts w:cs="Times New Roman"/>
        </w:rPr>
        <w:t xml:space="preserve">Consider two time periods: </w:t>
      </w:r>
      <w:r w:rsidR="009C74C1" w:rsidRPr="0050757A">
        <w:rPr>
          <w:rFonts w:cs="Times New Roman"/>
          <w:i/>
        </w:rPr>
        <w:t>t</w:t>
      </w:r>
      <w:r w:rsidR="007D58B4">
        <w:rPr>
          <w:rFonts w:cs="Times New Roman"/>
        </w:rPr>
        <w:t xml:space="preserve"> = 1,</w:t>
      </w:r>
      <w:r w:rsidR="003F1F91">
        <w:rPr>
          <w:rFonts w:cs="Times New Roman"/>
        </w:rPr>
        <w:t xml:space="preserve"> </w:t>
      </w:r>
      <w:r w:rsidR="007D58B4">
        <w:rPr>
          <w:rFonts w:cs="Times New Roman"/>
        </w:rPr>
        <w:t>2, for pre- and post-HOPE cohorts, respectively</w:t>
      </w:r>
      <w:r w:rsidR="005046C9">
        <w:rPr>
          <w:rFonts w:cs="Times New Roman"/>
        </w:rPr>
        <w:t xml:space="preserve">. </w:t>
      </w:r>
      <w:r w:rsidR="00E5593D">
        <w:rPr>
          <w:rFonts w:cs="Times New Roman"/>
        </w:rPr>
        <w:t>For each time period l</w:t>
      </w:r>
      <w:r w:rsidR="007D58B4">
        <w:rPr>
          <w:rFonts w:cs="Times New Roman"/>
        </w:rPr>
        <w:t>et there be three groups of potential USG students</w:t>
      </w:r>
      <w:r w:rsidR="003F1F91">
        <w:rPr>
          <w:rFonts w:cs="Times New Roman"/>
        </w:rPr>
        <w:t xml:space="preserve">: </w:t>
      </w:r>
      <w:r w:rsidR="009C74C1" w:rsidRPr="0050757A">
        <w:rPr>
          <w:rFonts w:cs="Times New Roman"/>
          <w:i/>
        </w:rPr>
        <w:t>i</w:t>
      </w:r>
      <w:r w:rsidR="003F1F91">
        <w:rPr>
          <w:rFonts w:cs="Times New Roman"/>
        </w:rPr>
        <w:t xml:space="preserve"> = 1, 2, 3</w:t>
      </w:r>
      <w:r w:rsidR="005046C9">
        <w:rPr>
          <w:rFonts w:cs="Times New Roman"/>
        </w:rPr>
        <w:t xml:space="preserve">. </w:t>
      </w:r>
      <w:r w:rsidR="003F1F91">
        <w:rPr>
          <w:rFonts w:cs="Times New Roman"/>
        </w:rPr>
        <w:t xml:space="preserve">The first group </w:t>
      </w:r>
      <w:r w:rsidR="00CD57C1">
        <w:rPr>
          <w:rFonts w:cs="Times New Roman"/>
        </w:rPr>
        <w:t>consists of</w:t>
      </w:r>
      <w:r w:rsidR="003F1F91">
        <w:rPr>
          <w:rFonts w:cs="Times New Roman"/>
        </w:rPr>
        <w:t xml:space="preserve"> students who </w:t>
      </w:r>
      <w:r w:rsidR="003F1F91">
        <w:rPr>
          <w:rFonts w:cs="Times New Roman"/>
        </w:rPr>
        <w:lastRenderedPageBreak/>
        <w:t>would enroll in the USG after graduating</w:t>
      </w:r>
      <w:r w:rsidR="00D12126">
        <w:rPr>
          <w:rFonts w:cs="Times New Roman"/>
        </w:rPr>
        <w:t xml:space="preserve"> from</w:t>
      </w:r>
      <w:r w:rsidR="003F1F91">
        <w:rPr>
          <w:rFonts w:cs="Times New Roman"/>
        </w:rPr>
        <w:t xml:space="preserve"> high school, regardless of the HOPE program</w:t>
      </w:r>
      <w:r w:rsidR="00C64F4E">
        <w:rPr>
          <w:rFonts w:cs="Times New Roman"/>
        </w:rPr>
        <w:t xml:space="preserve">; i.e., HOPE has no effect on the enrollment of </w:t>
      </w:r>
      <w:r w:rsidR="001B3846">
        <w:rPr>
          <w:rFonts w:cs="Times New Roman"/>
        </w:rPr>
        <w:t>g</w:t>
      </w:r>
      <w:r w:rsidR="00C64F4E">
        <w:rPr>
          <w:rFonts w:cs="Times New Roman"/>
        </w:rPr>
        <w:t>roup 1</w:t>
      </w:r>
      <w:r w:rsidR="005046C9">
        <w:rPr>
          <w:rFonts w:cs="Times New Roman"/>
        </w:rPr>
        <w:t xml:space="preserve">. </w:t>
      </w:r>
      <w:r w:rsidR="00C12397">
        <w:rPr>
          <w:rFonts w:cs="Times New Roman"/>
        </w:rPr>
        <w:t>Group 1 likely represents the bulk of USG students both before and after HOPE</w:t>
      </w:r>
      <w:r w:rsidR="005046C9">
        <w:rPr>
          <w:rFonts w:cs="Times New Roman"/>
        </w:rPr>
        <w:t xml:space="preserve">. </w:t>
      </w:r>
    </w:p>
    <w:p w:rsidR="006551DF" w:rsidRPr="006551DF" w:rsidRDefault="00C64F4E" w:rsidP="006551DF">
      <w:pPr>
        <w:spacing w:line="480" w:lineRule="auto"/>
        <w:ind w:firstLine="720"/>
        <w:rPr>
          <w:rFonts w:ascii="Tahoma" w:eastAsia="Times New Roman" w:hAnsi="Tahoma" w:cs="Tahoma"/>
          <w:sz w:val="20"/>
          <w:szCs w:val="20"/>
        </w:rPr>
      </w:pPr>
      <w:r>
        <w:rPr>
          <w:rFonts w:cs="Times New Roman"/>
        </w:rPr>
        <w:t>Group 2 consists of recent high school graduates who would not enroll in the USG if there w</w:t>
      </w:r>
      <w:r w:rsidR="00D12126">
        <w:rPr>
          <w:rFonts w:cs="Times New Roman"/>
        </w:rPr>
        <w:t>as</w:t>
      </w:r>
      <w:r>
        <w:rPr>
          <w:rFonts w:cs="Times New Roman"/>
        </w:rPr>
        <w:t xml:space="preserve"> no HOPE program but are enticed by the merit scholarship to enroll in the USG</w:t>
      </w:r>
      <w:r w:rsidR="00C12397">
        <w:rPr>
          <w:rFonts w:cs="Times New Roman"/>
        </w:rPr>
        <w:t xml:space="preserve"> if it exists</w:t>
      </w:r>
      <w:r w:rsidR="005046C9">
        <w:rPr>
          <w:rFonts w:cs="Times New Roman"/>
        </w:rPr>
        <w:t xml:space="preserve">. </w:t>
      </w:r>
      <w:r w:rsidR="00324DC3">
        <w:rPr>
          <w:rFonts w:cs="Times New Roman"/>
        </w:rPr>
        <w:t xml:space="preserve">These “HOPE </w:t>
      </w:r>
      <w:r w:rsidR="001B3846">
        <w:rPr>
          <w:rFonts w:cs="Times New Roman"/>
        </w:rPr>
        <w:t>s</w:t>
      </w:r>
      <w:r w:rsidR="00324DC3">
        <w:rPr>
          <w:rFonts w:cs="Times New Roman"/>
        </w:rPr>
        <w:t xml:space="preserve">tayers” who attend the USG because of HOPE but would not have done so otherwise have generated </w:t>
      </w:r>
      <w:r w:rsidR="00A1441F">
        <w:rPr>
          <w:rFonts w:cs="Times New Roman"/>
        </w:rPr>
        <w:t>considerable</w:t>
      </w:r>
      <w:r w:rsidR="00324DC3">
        <w:rPr>
          <w:rFonts w:cs="Times New Roman"/>
        </w:rPr>
        <w:t xml:space="preserve"> interest from researchers</w:t>
      </w:r>
      <w:r w:rsidR="005046C9">
        <w:rPr>
          <w:rFonts w:cs="Times New Roman"/>
        </w:rPr>
        <w:t xml:space="preserve">. </w:t>
      </w:r>
      <w:r w:rsidR="00DF00F6">
        <w:rPr>
          <w:rFonts w:cs="Times New Roman"/>
        </w:rPr>
        <w:t>Dynarski (2000) est</w:t>
      </w:r>
      <w:r w:rsidR="00320357">
        <w:rPr>
          <w:rFonts w:cs="Times New Roman"/>
        </w:rPr>
        <w:t>i</w:t>
      </w:r>
      <w:r w:rsidR="00DF00F6">
        <w:rPr>
          <w:rFonts w:cs="Times New Roman"/>
        </w:rPr>
        <w:t xml:space="preserve">mates that such students comprised 20 percent of the freshman class; </w:t>
      </w:r>
      <w:r w:rsidR="00C75571">
        <w:rPr>
          <w:rFonts w:cs="Times New Roman"/>
        </w:rPr>
        <w:t xml:space="preserve">the estimate of </w:t>
      </w:r>
      <w:r w:rsidR="00DF00F6">
        <w:rPr>
          <w:rFonts w:cs="Times New Roman"/>
        </w:rPr>
        <w:t>Cornwell</w:t>
      </w:r>
      <w:r w:rsidR="00C75571">
        <w:rPr>
          <w:rFonts w:cs="Times New Roman"/>
        </w:rPr>
        <w:t xml:space="preserve"> et al. </w:t>
      </w:r>
      <w:r w:rsidR="00DF00F6">
        <w:rPr>
          <w:rFonts w:cs="Times New Roman"/>
        </w:rPr>
        <w:t>(2006) is 15 percent</w:t>
      </w:r>
      <w:r w:rsidR="005046C9">
        <w:rPr>
          <w:rFonts w:cs="Times New Roman"/>
        </w:rPr>
        <w:t xml:space="preserve">. </w:t>
      </w:r>
      <w:r w:rsidR="002A0A53">
        <w:rPr>
          <w:rFonts w:cs="Times New Roman"/>
        </w:rPr>
        <w:t xml:space="preserve">To be more precise, </w:t>
      </w:r>
      <w:r w:rsidR="00D12126">
        <w:rPr>
          <w:rFonts w:cs="Times New Roman"/>
        </w:rPr>
        <w:t>g</w:t>
      </w:r>
      <w:r w:rsidR="002A0A53">
        <w:rPr>
          <w:rFonts w:cs="Times New Roman"/>
        </w:rPr>
        <w:t>roup 2 actually consists of three subgroups who attend the USG because of HOPE: students who would have gone to college out of state, students who would have attended a private college or university in Georgia, and students who would not have gone to college</w:t>
      </w:r>
      <w:r w:rsidR="005046C9">
        <w:rPr>
          <w:rFonts w:cs="Times New Roman"/>
        </w:rPr>
        <w:t xml:space="preserve">. </w:t>
      </w:r>
      <w:r w:rsidR="003645BA">
        <w:rPr>
          <w:rFonts w:cs="Times New Roman"/>
        </w:rPr>
        <w:t>T</w:t>
      </w:r>
      <w:r w:rsidR="00F86E95">
        <w:rPr>
          <w:rFonts w:cs="Times New Roman"/>
        </w:rPr>
        <w:t xml:space="preserve">o keep things simpler, we refer to these three subgroups collectively as </w:t>
      </w:r>
      <w:r w:rsidR="00D12126">
        <w:rPr>
          <w:rFonts w:cs="Times New Roman"/>
        </w:rPr>
        <w:t>g</w:t>
      </w:r>
      <w:r w:rsidR="00F86E95">
        <w:rPr>
          <w:rFonts w:cs="Times New Roman"/>
        </w:rPr>
        <w:t>roup 2.</w:t>
      </w:r>
    </w:p>
    <w:p w:rsidR="00365757" w:rsidRDefault="00A1441F" w:rsidP="0050757A">
      <w:pPr>
        <w:spacing w:after="0" w:line="480" w:lineRule="auto"/>
        <w:ind w:firstLine="720"/>
      </w:pPr>
      <w:r>
        <w:rPr>
          <w:rFonts w:cs="Times New Roman"/>
        </w:rPr>
        <w:t>Often overlooked is the third group</w:t>
      </w:r>
      <w:r w:rsidR="00630C6A">
        <w:rPr>
          <w:rFonts w:cs="Times New Roman"/>
        </w:rPr>
        <w:t xml:space="preserve"> of students</w:t>
      </w:r>
      <w:r>
        <w:rPr>
          <w:rFonts w:cs="Times New Roman"/>
        </w:rPr>
        <w:t xml:space="preserve">, which consists of “HOPE </w:t>
      </w:r>
      <w:r w:rsidR="001B3846">
        <w:rPr>
          <w:rFonts w:cs="Times New Roman"/>
        </w:rPr>
        <w:t>l</w:t>
      </w:r>
      <w:r>
        <w:rPr>
          <w:rFonts w:cs="Times New Roman"/>
        </w:rPr>
        <w:t>eavers</w:t>
      </w:r>
      <w:r w:rsidR="00630C6A">
        <w:rPr>
          <w:rFonts w:cs="Times New Roman"/>
        </w:rPr>
        <w:t>.</w:t>
      </w:r>
      <w:r>
        <w:rPr>
          <w:rFonts w:cs="Times New Roman"/>
        </w:rPr>
        <w:t>”</w:t>
      </w:r>
      <w:r w:rsidR="00567F46">
        <w:rPr>
          <w:rFonts w:cs="Times New Roman"/>
        </w:rPr>
        <w:t xml:space="preserve"> </w:t>
      </w:r>
      <w:r w:rsidR="00630C6A">
        <w:rPr>
          <w:rFonts w:cs="Times New Roman"/>
        </w:rPr>
        <w:t>T</w:t>
      </w:r>
      <w:r w:rsidR="00352E04">
        <w:rPr>
          <w:rFonts w:cs="Times New Roman"/>
        </w:rPr>
        <w:t>hese are students who would have attended a USG institution in the absence of the HOPE program but d</w:t>
      </w:r>
      <w:r w:rsidR="008F719C">
        <w:rPr>
          <w:rFonts w:cs="Times New Roman"/>
        </w:rPr>
        <w:t>o</w:t>
      </w:r>
      <w:r w:rsidR="00352E04">
        <w:rPr>
          <w:rFonts w:cs="Times New Roman"/>
        </w:rPr>
        <w:t xml:space="preserve"> not to do so after HOPE</w:t>
      </w:r>
      <w:r w:rsidR="005046C9">
        <w:rPr>
          <w:rFonts w:cs="Times New Roman"/>
        </w:rPr>
        <w:t xml:space="preserve">. </w:t>
      </w:r>
      <w:r w:rsidR="00352E04">
        <w:rPr>
          <w:rFonts w:cs="Times New Roman"/>
        </w:rPr>
        <w:t>This group is likely the smallest of the three but could</w:t>
      </w:r>
      <w:r w:rsidR="00630C6A">
        <w:rPr>
          <w:rFonts w:cs="Times New Roman"/>
        </w:rPr>
        <w:t xml:space="preserve"> still</w:t>
      </w:r>
      <w:r w:rsidR="00352E04">
        <w:rPr>
          <w:rFonts w:cs="Times New Roman"/>
        </w:rPr>
        <w:t xml:space="preserve"> be important</w:t>
      </w:r>
      <w:r w:rsidR="005046C9">
        <w:rPr>
          <w:rFonts w:cs="Times New Roman"/>
        </w:rPr>
        <w:t xml:space="preserve">. </w:t>
      </w:r>
      <w:r w:rsidR="00630C6A">
        <w:rPr>
          <w:rFonts w:cs="Times New Roman"/>
        </w:rPr>
        <w:t xml:space="preserve">HOPE might cause some students to “leave” the USG because of </w:t>
      </w:r>
      <w:r w:rsidR="00DF00F6">
        <w:rPr>
          <w:rFonts w:cs="Times New Roman"/>
        </w:rPr>
        <w:t xml:space="preserve">HOPE’s increased </w:t>
      </w:r>
      <w:r w:rsidR="00630C6A">
        <w:rPr>
          <w:rFonts w:cs="Times New Roman"/>
        </w:rPr>
        <w:t>selectivity in admissions</w:t>
      </w:r>
      <w:r w:rsidR="005046C9">
        <w:rPr>
          <w:rFonts w:cs="Times New Roman"/>
        </w:rPr>
        <w:t xml:space="preserve">. </w:t>
      </w:r>
      <w:r w:rsidR="00630C6A">
        <w:rPr>
          <w:rFonts w:cs="Times New Roman"/>
        </w:rPr>
        <w:t xml:space="preserve">Merit scholarships like HOPE often lead to increased competition for enrollment at top public universities such as the University of Georgia and Georgia </w:t>
      </w:r>
      <w:r w:rsidR="00D620D9">
        <w:rPr>
          <w:rFonts w:cs="Times New Roman"/>
        </w:rPr>
        <w:t xml:space="preserve">Institute of </w:t>
      </w:r>
      <w:r w:rsidR="00630C6A">
        <w:rPr>
          <w:rFonts w:cs="Times New Roman"/>
        </w:rPr>
        <w:t>Tech</w:t>
      </w:r>
      <w:r w:rsidR="00D620D9">
        <w:rPr>
          <w:rFonts w:cs="Times New Roman"/>
        </w:rPr>
        <w:t>nology</w:t>
      </w:r>
      <w:r w:rsidR="005046C9">
        <w:rPr>
          <w:rFonts w:cs="Times New Roman"/>
        </w:rPr>
        <w:t xml:space="preserve">. </w:t>
      </w:r>
      <w:r w:rsidR="00D25F6C">
        <w:rPr>
          <w:rFonts w:cs="Times New Roman"/>
        </w:rPr>
        <w:t xml:space="preserve">Some students </w:t>
      </w:r>
      <w:r w:rsidR="00D620D9">
        <w:rPr>
          <w:rFonts w:cs="Times New Roman"/>
        </w:rPr>
        <w:t xml:space="preserve">who would have gained admission to and enrolled in the top universities in the absence of a merit program </w:t>
      </w:r>
      <w:r w:rsidR="00D25F6C">
        <w:rPr>
          <w:rFonts w:cs="Times New Roman"/>
        </w:rPr>
        <w:t>are likely to be crowded out of the top universities due to merit-induced rising standards</w:t>
      </w:r>
      <w:r w:rsidR="005046C9">
        <w:rPr>
          <w:rFonts w:cs="Times New Roman"/>
        </w:rPr>
        <w:t xml:space="preserve">. </w:t>
      </w:r>
      <w:r w:rsidR="00D620D9">
        <w:rPr>
          <w:rFonts w:cs="Times New Roman"/>
        </w:rPr>
        <w:t xml:space="preserve">Many of these students will attend a less prestigious USG institution and still be part of </w:t>
      </w:r>
      <w:r w:rsidR="001B3846">
        <w:rPr>
          <w:rFonts w:cs="Times New Roman"/>
        </w:rPr>
        <w:t>g</w:t>
      </w:r>
      <w:r w:rsidR="00D620D9">
        <w:rPr>
          <w:rFonts w:cs="Times New Roman"/>
        </w:rPr>
        <w:t>roup</w:t>
      </w:r>
      <w:r w:rsidR="001B3846">
        <w:rPr>
          <w:rFonts w:cs="Times New Roman"/>
        </w:rPr>
        <w:t xml:space="preserve"> </w:t>
      </w:r>
      <w:r w:rsidR="00D620D9">
        <w:rPr>
          <w:rFonts w:cs="Times New Roman"/>
        </w:rPr>
        <w:t>1</w:t>
      </w:r>
      <w:r w:rsidR="005046C9">
        <w:rPr>
          <w:rFonts w:cs="Times New Roman"/>
        </w:rPr>
        <w:t xml:space="preserve">. </w:t>
      </w:r>
      <w:r w:rsidR="00D620D9">
        <w:rPr>
          <w:rFonts w:cs="Times New Roman"/>
        </w:rPr>
        <w:t xml:space="preserve">But some students crowded out of the top universities </w:t>
      </w:r>
      <w:r w:rsidR="008F719C">
        <w:rPr>
          <w:rFonts w:cs="Times New Roman"/>
        </w:rPr>
        <w:t xml:space="preserve">may </w:t>
      </w:r>
      <w:r w:rsidR="00903A9A">
        <w:rPr>
          <w:rFonts w:cs="Times New Roman"/>
        </w:rPr>
        <w:lastRenderedPageBreak/>
        <w:t>instead attend college at nearby institutions outside the USG</w:t>
      </w:r>
      <w:r w:rsidR="008F719C">
        <w:rPr>
          <w:rFonts w:cs="Times New Roman"/>
        </w:rPr>
        <w:t>,</w:t>
      </w:r>
      <w:r w:rsidR="00903A9A">
        <w:rPr>
          <w:rFonts w:cs="Times New Roman"/>
        </w:rPr>
        <w:t xml:space="preserve"> such as Auburn University, Clemson University, the University of Alabama, and the University of Mississippi</w:t>
      </w:r>
      <w:r w:rsidR="005046C9">
        <w:rPr>
          <w:rFonts w:cs="Times New Roman"/>
        </w:rPr>
        <w:t xml:space="preserve">. </w:t>
      </w:r>
      <w:r w:rsidR="00903A9A">
        <w:rPr>
          <w:rFonts w:cs="Times New Roman"/>
        </w:rPr>
        <w:t xml:space="preserve">Thus, </w:t>
      </w:r>
      <w:r w:rsidR="00903A9A">
        <w:t xml:space="preserve">HOPE </w:t>
      </w:r>
      <w:r w:rsidR="004B5EB5">
        <w:t>could</w:t>
      </w:r>
      <w:r w:rsidR="002F5C7D">
        <w:t xml:space="preserve"> possibly</w:t>
      </w:r>
      <w:r w:rsidR="004B5EB5">
        <w:t xml:space="preserve"> have</w:t>
      </w:r>
      <w:r w:rsidR="00903A9A">
        <w:t xml:space="preserve"> increase</w:t>
      </w:r>
      <w:r w:rsidR="004B5EB5">
        <w:t>d</w:t>
      </w:r>
      <w:r w:rsidR="00903A9A">
        <w:t xml:space="preserve"> total enrollment in the USG more than it </w:t>
      </w:r>
      <w:r w:rsidR="004B5EB5">
        <w:t>did</w:t>
      </w:r>
      <w:r w:rsidR="00903A9A">
        <w:t xml:space="preserve"> if </w:t>
      </w:r>
      <w:r w:rsidR="004B5EB5">
        <w:t xml:space="preserve">the </w:t>
      </w:r>
      <w:r w:rsidR="00903A9A">
        <w:t xml:space="preserve">capacity at the top institutions </w:t>
      </w:r>
      <w:r w:rsidR="004B5EB5">
        <w:t>had</w:t>
      </w:r>
      <w:r w:rsidR="00903A9A">
        <w:t xml:space="preserve"> expanded sufficiently such that the credentials of the marginal admitted student were the same before and after HOPE.</w:t>
      </w:r>
    </w:p>
    <w:p w:rsidR="00365757" w:rsidRDefault="0001337C" w:rsidP="0050757A">
      <w:pPr>
        <w:spacing w:after="0" w:line="480" w:lineRule="auto"/>
        <w:ind w:firstLine="720"/>
      </w:pPr>
      <w:r>
        <w:t xml:space="preserve">The retention rate of group </w:t>
      </w:r>
      <m:oMath>
        <m:r>
          <w:rPr>
            <w:rFonts w:ascii="Cambria Math" w:hAnsi="Cambria Math"/>
          </w:rPr>
          <m:t>i</m:t>
        </m:r>
      </m:oMath>
      <w:r>
        <w:t xml:space="preserve"> </w:t>
      </w:r>
      <w:r w:rsidR="00D71DA7">
        <w:t>from</w:t>
      </w:r>
      <w:r>
        <w:t xml:space="preserve"> period </w:t>
      </w:r>
      <m:oMath>
        <m:r>
          <w:rPr>
            <w:rFonts w:ascii="Cambria Math" w:hAnsi="Cambria Math"/>
          </w:rPr>
          <m:t>t</m:t>
        </m:r>
      </m:oMath>
      <w:r>
        <w:t xml:space="preserve">, </w:t>
      </w:r>
      <m:oMath>
        <m:sSub>
          <m:sSubPr>
            <m:ctrlPr>
              <w:rPr>
                <w:rFonts w:ascii="Cambria Math" w:hAnsi="Cambria Math"/>
                <w:i/>
              </w:rPr>
            </m:ctrlPr>
          </m:sSubPr>
          <m:e>
            <m:r>
              <w:rPr>
                <w:rFonts w:ascii="Cambria Math" w:hAnsi="Cambria Math"/>
              </w:rPr>
              <m:t>ρ</m:t>
            </m:r>
          </m:e>
          <m:sub>
            <m:r>
              <w:rPr>
                <w:rFonts w:ascii="Cambria Math" w:hAnsi="Cambria Math"/>
              </w:rPr>
              <m:t>it</m:t>
            </m:r>
          </m:sub>
        </m:sSub>
      </m:oMath>
      <w:r>
        <w:t xml:space="preserve">, is defined as the ratio of the number of USG students of group </w:t>
      </w:r>
      <m:oMath>
        <m:r>
          <w:rPr>
            <w:rFonts w:ascii="Cambria Math" w:hAnsi="Cambria Math"/>
          </w:rPr>
          <m:t>i</m:t>
        </m:r>
      </m:oMath>
      <w:r w:rsidR="00DC2316">
        <w:rPr>
          <w:rFonts w:eastAsiaTheme="minorEastAsia"/>
        </w:rPr>
        <w:t xml:space="preserve"> </w:t>
      </w:r>
      <w:r w:rsidR="00D71DA7">
        <w:t>from</w:t>
      </w:r>
      <w:r>
        <w:t xml:space="preserve"> period </w:t>
      </w:r>
      <m:oMath>
        <m:r>
          <w:rPr>
            <w:rFonts w:ascii="Cambria Math" w:hAnsi="Cambria Math"/>
          </w:rPr>
          <m:t>t</m:t>
        </m:r>
      </m:oMath>
      <w:r>
        <w:t xml:space="preserve"> retained in the state years after high school, </w:t>
      </w:r>
      <m:oMath>
        <m:sSub>
          <m:sSubPr>
            <m:ctrlPr>
              <w:rPr>
                <w:rFonts w:ascii="Cambria Math" w:hAnsi="Cambria Math"/>
                <w:i/>
              </w:rPr>
            </m:ctrlPr>
          </m:sSubPr>
          <m:e>
            <m:r>
              <w:rPr>
                <w:rFonts w:ascii="Cambria Math" w:hAnsi="Cambria Math"/>
              </w:rPr>
              <m:t>N</m:t>
            </m:r>
          </m:e>
          <m:sub>
            <m:r>
              <w:rPr>
                <w:rFonts w:ascii="Cambria Math" w:hAnsi="Cambria Math"/>
              </w:rPr>
              <m:t>it</m:t>
            </m:r>
          </m:sub>
        </m:sSub>
      </m:oMath>
      <w:r>
        <w:t xml:space="preserve">, to the number of students of group </w:t>
      </w:r>
      <m:oMath>
        <m:r>
          <w:rPr>
            <w:rFonts w:ascii="Cambria Math" w:hAnsi="Cambria Math"/>
          </w:rPr>
          <m:t>i</m:t>
        </m:r>
      </m:oMath>
      <w:r>
        <w:t xml:space="preserve"> </w:t>
      </w:r>
      <w:r w:rsidR="00D71DA7">
        <w:t>from</w:t>
      </w:r>
      <w:r>
        <w:t xml:space="preserve"> period </w:t>
      </w:r>
      <m:oMath>
        <m:r>
          <w:rPr>
            <w:rFonts w:ascii="Cambria Math" w:hAnsi="Cambria Math"/>
          </w:rPr>
          <m:t>t</m:t>
        </m:r>
      </m:oMath>
      <w:r>
        <w:t xml:space="preserve"> enrolled in the USG</w:t>
      </w:r>
      <w:r w:rsidR="00D71DA7">
        <w:t xml:space="preserve"> immediately after high school</w:t>
      </w:r>
      <w:r w:rsidR="00DC2316">
        <w:t xml:space="preserve">, </w:t>
      </w:r>
      <m:oMath>
        <m:sSub>
          <m:sSubPr>
            <m:ctrlPr>
              <w:rPr>
                <w:rFonts w:ascii="Cambria Math" w:hAnsi="Cambria Math"/>
                <w:i/>
              </w:rPr>
            </m:ctrlPr>
          </m:sSubPr>
          <m:e>
            <m:r>
              <w:rPr>
                <w:rFonts w:ascii="Cambria Math" w:hAnsi="Cambria Math"/>
              </w:rPr>
              <m:t>E</m:t>
            </m:r>
          </m:e>
          <m:sub>
            <m:r>
              <w:rPr>
                <w:rFonts w:ascii="Cambria Math" w:hAnsi="Cambria Math"/>
              </w:rPr>
              <m:t>it</m:t>
            </m:r>
          </m:sub>
        </m:sSub>
      </m:oMath>
      <w:r>
        <w:t>:</w:t>
      </w:r>
    </w:p>
    <w:p w:rsidR="00365757" w:rsidRDefault="00742353" w:rsidP="00883E37">
      <w:pPr>
        <w:spacing w:after="0" w:line="480" w:lineRule="auto"/>
        <w:ind w:firstLine="720"/>
      </w:pPr>
      <m:oMath>
        <m:sSub>
          <m:sSubPr>
            <m:ctrlPr>
              <w:rPr>
                <w:rFonts w:ascii="Cambria Math" w:hAnsi="Cambria Math"/>
                <w:i/>
              </w:rPr>
            </m:ctrlPr>
          </m:sSubPr>
          <m:e>
            <m:r>
              <w:rPr>
                <w:rFonts w:ascii="Cambria Math" w:hAnsi="Cambria Math"/>
              </w:rPr>
              <m:t>ρ</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it</m:t>
            </m:r>
          </m:sub>
        </m:sSub>
        <m:r>
          <w:rPr>
            <w:rFonts w:ascii="Cambria Math" w:hAnsi="Cambria Math"/>
          </w:rPr>
          <m:t xml:space="preserve"> </m:t>
        </m:r>
      </m:oMath>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t>(1)</w:t>
      </w:r>
    </w:p>
    <w:p w:rsidR="00365757" w:rsidRDefault="00DC2316" w:rsidP="0050757A">
      <w:pPr>
        <w:spacing w:after="0" w:line="480" w:lineRule="auto"/>
        <w:rPr>
          <w:rFonts w:cs="Times New Roman"/>
        </w:rPr>
      </w:pPr>
      <w:r>
        <w:rPr>
          <w:rFonts w:cs="Times New Roman"/>
        </w:rPr>
        <w:t xml:space="preserve">The overall retention rate in period </w:t>
      </w:r>
      <m:oMath>
        <m:r>
          <w:rPr>
            <w:rFonts w:ascii="Cambria Math" w:hAnsi="Cambria Math"/>
          </w:rPr>
          <m:t>t</m:t>
        </m:r>
      </m:oMath>
      <w:r>
        <w:rPr>
          <w:rFonts w:cs="Times New Roman"/>
        </w:rPr>
        <w:t xml:space="preserve"> is </w:t>
      </w:r>
      <w:r w:rsidR="00746D6E">
        <w:rPr>
          <w:rFonts w:cs="Times New Roman"/>
        </w:rPr>
        <w:t>defined similarly:</w:t>
      </w:r>
    </w:p>
    <w:p w:rsidR="00365757" w:rsidRDefault="00742353" w:rsidP="00883E37">
      <w:pPr>
        <w:spacing w:after="0" w:line="480" w:lineRule="auto"/>
        <w:ind w:firstLine="720"/>
      </w:pPr>
      <m:oMath>
        <m:sSub>
          <m:sSubPr>
            <m:ctrlPr>
              <w:rPr>
                <w:rFonts w:ascii="Cambria Math" w:hAnsi="Cambria Math"/>
                <w:i/>
              </w:rPr>
            </m:ctrlPr>
          </m:sSubPr>
          <m:e>
            <m:r>
              <w:rPr>
                <w:rFonts w:ascii="Cambria Math" w:hAnsi="Cambria Math"/>
              </w:rPr>
              <m:t>ρ</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rsidR="002C500B">
        <w:rPr>
          <w:rFonts w:eastAsiaTheme="minorEastAsia"/>
        </w:rPr>
        <w:t>,</w:t>
      </w:r>
      <w:r w:rsidR="00567F46">
        <w:rPr>
          <w:rFonts w:eastAsiaTheme="minorEastAsia"/>
        </w:rPr>
        <w:t xml:space="preserve">   </w:t>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t>(2)</w:t>
      </w:r>
    </w:p>
    <w:p w:rsidR="00365757" w:rsidRDefault="00746D6E" w:rsidP="0050757A">
      <w:pPr>
        <w:spacing w:after="0" w:line="480" w:lineRule="auto"/>
        <w:rPr>
          <w:rFonts w:cs="Times New Roman"/>
        </w:rPr>
      </w:pPr>
      <w:proofErr w:type="gramStart"/>
      <w:r>
        <w:rPr>
          <w:rFonts w:cs="Times New Roman"/>
        </w:rPr>
        <w:t>where</w:t>
      </w:r>
      <w:proofErr w:type="gramEnd"/>
      <w:r>
        <w:rPr>
          <w:rFonts w:cs="Times New Roman"/>
        </w:rPr>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N</m:t>
                </m:r>
              </m:e>
              <m:sub>
                <m:r>
                  <w:rPr>
                    <w:rFonts w:ascii="Cambria Math" w:hAnsi="Cambria Math"/>
                  </w:rPr>
                  <m:t>it</m:t>
                </m:r>
              </m:sub>
            </m:sSub>
          </m:e>
        </m:nary>
      </m:oMath>
      <w:r w:rsidR="00874EF3">
        <w:rPr>
          <w:rFonts w:cs="Times New Roman"/>
        </w:rPr>
        <w:t xml:space="preserve"> and </w:t>
      </w: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E</m:t>
                </m:r>
              </m:e>
              <m:sub>
                <m:r>
                  <w:rPr>
                    <w:rFonts w:ascii="Cambria Math" w:hAnsi="Cambria Math"/>
                  </w:rPr>
                  <m:t>it</m:t>
                </m:r>
              </m:sub>
            </m:sSub>
          </m:e>
        </m:nary>
      </m:oMath>
      <w:r w:rsidR="005046C9">
        <w:rPr>
          <w:rFonts w:cs="Times New Roman"/>
        </w:rPr>
        <w:t xml:space="preserve">. </w:t>
      </w:r>
      <w:r w:rsidR="0094783D">
        <w:rPr>
          <w:rFonts w:cs="Times New Roman"/>
        </w:rPr>
        <w:t>With some rearranging</w:t>
      </w:r>
      <w:r w:rsidR="00024E1A">
        <w:rPr>
          <w:rFonts w:cs="Times New Roman"/>
        </w:rPr>
        <w:t xml:space="preserve"> and noting that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32</m:t>
            </m:r>
          </m:sub>
        </m:sSub>
        <m:r>
          <w:rPr>
            <w:rFonts w:ascii="Cambria Math" w:hAnsi="Cambria Math" w:cs="Times New Roman"/>
          </w:rPr>
          <m:t>=0</m:t>
        </m:r>
      </m:oMath>
      <w:r w:rsidR="00024E1A">
        <w:rPr>
          <w:rFonts w:cs="Times New Roman"/>
        </w:rPr>
        <w:t xml:space="preserve"> by definition</w:t>
      </w:r>
      <w:r w:rsidR="008F719C">
        <w:rPr>
          <w:rStyle w:val="FootnoteReference"/>
          <w:rFonts w:cs="Times New Roman"/>
        </w:rPr>
        <w:footnoteReference w:id="14"/>
      </w:r>
      <w:r w:rsidR="00024E1A">
        <w:rPr>
          <w:rFonts w:cs="Times New Roman"/>
        </w:rPr>
        <w:t>,</w:t>
      </w:r>
      <w:r w:rsidR="0094783D">
        <w:rPr>
          <w:rFonts w:cs="Times New Roman"/>
        </w:rPr>
        <w:t xml:space="preserve"> we can write </w:t>
      </w:r>
      <w:r w:rsidR="008842EA">
        <w:rPr>
          <w:rFonts w:cs="Times New Roman"/>
        </w:rPr>
        <w:t>the overall retention rate for each period</w:t>
      </w:r>
      <w:r w:rsidR="0094783D">
        <w:rPr>
          <w:rFonts w:cs="Times New Roman"/>
        </w:rPr>
        <w:t xml:space="preserve"> as:</w:t>
      </w:r>
    </w:p>
    <w:p w:rsidR="0094783D" w:rsidRDefault="00742353" w:rsidP="00883E37">
      <w:pPr>
        <w:spacing w:after="0" w:line="480" w:lineRule="auto"/>
        <w:ind w:firstLine="720"/>
      </w:pP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11</m:t>
            </m:r>
          </m:sub>
        </m:sSub>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 xml:space="preserve">+ </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11</m:t>
                </m:r>
              </m:sub>
            </m:sSub>
          </m:e>
        </m:d>
        <m:sSub>
          <m:sSubPr>
            <m:ctrlPr>
              <w:rPr>
                <w:rFonts w:ascii="Cambria Math" w:hAnsi="Cambria Math"/>
                <w:i/>
              </w:rPr>
            </m:ctrlPr>
          </m:sSubPr>
          <m:e>
            <m:r>
              <w:rPr>
                <w:rFonts w:ascii="Cambria Math" w:hAnsi="Cambria Math"/>
              </w:rPr>
              <m:t>ρ</m:t>
            </m:r>
          </m:e>
          <m:sub>
            <m:r>
              <w:rPr>
                <w:rFonts w:ascii="Cambria Math" w:hAnsi="Cambria Math"/>
              </w:rPr>
              <m:t>31</m:t>
            </m:r>
          </m:sub>
        </m:sSub>
      </m:oMath>
      <w:r w:rsidR="00567F46">
        <w:rPr>
          <w:rFonts w:eastAsiaTheme="minorEastAsia"/>
        </w:rPr>
        <w:t xml:space="preserve"> </w:t>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r>
      <w:r w:rsidR="0094783D">
        <w:rPr>
          <w:rFonts w:eastAsiaTheme="minorEastAsia"/>
        </w:rPr>
        <w:tab/>
        <w:t>(3</w:t>
      </w:r>
      <w:r w:rsidR="008842EA">
        <w:rPr>
          <w:rFonts w:eastAsiaTheme="minorEastAsia"/>
        </w:rPr>
        <w:t>a</w:t>
      </w:r>
      <w:r w:rsidR="0094783D">
        <w:rPr>
          <w:rFonts w:eastAsiaTheme="minorEastAsia"/>
        </w:rPr>
        <w:t>)</w:t>
      </w:r>
    </w:p>
    <w:p w:rsidR="008842EA" w:rsidRDefault="00742353" w:rsidP="00883E37">
      <w:pPr>
        <w:spacing w:after="0" w:line="480" w:lineRule="auto"/>
        <w:ind w:firstLine="720"/>
      </w:pPr>
      <m:oMath>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12</m:t>
            </m:r>
          </m:sub>
        </m:sSub>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 (1-</m:t>
        </m:r>
        <m:sSub>
          <m:sSubPr>
            <m:ctrlPr>
              <w:rPr>
                <w:rFonts w:ascii="Cambria Math" w:hAnsi="Cambria Math"/>
                <w:i/>
              </w:rPr>
            </m:ctrlPr>
          </m:sSubPr>
          <m:e>
            <m:r>
              <w:rPr>
                <w:rFonts w:ascii="Cambria Math" w:hAnsi="Cambria Math"/>
              </w:rPr>
              <m:t>θ</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22</m:t>
            </m:r>
          </m:sub>
        </m:sSub>
      </m:oMath>
      <w:r w:rsidR="008842EA">
        <w:rPr>
          <w:rFonts w:eastAsiaTheme="minorEastAsia"/>
        </w:rPr>
        <w:t xml:space="preserve"> </w:t>
      </w:r>
      <w:r w:rsidR="002C500B">
        <w:rPr>
          <w:rFonts w:eastAsiaTheme="minorEastAsia"/>
        </w:rPr>
        <w:t>,</w:t>
      </w:r>
      <w:r w:rsidR="00567F46">
        <w:rPr>
          <w:rFonts w:eastAsiaTheme="minorEastAsia"/>
        </w:rPr>
        <w:t xml:space="preserve"> </w:t>
      </w:r>
      <w:r w:rsidR="008842EA">
        <w:rPr>
          <w:rFonts w:eastAsiaTheme="minorEastAsia"/>
        </w:rPr>
        <w:t xml:space="preserve"> </w:t>
      </w:r>
      <w:r w:rsidR="008842EA">
        <w:rPr>
          <w:rFonts w:eastAsiaTheme="minorEastAsia"/>
        </w:rPr>
        <w:tab/>
      </w:r>
      <w:r w:rsidR="008842EA">
        <w:rPr>
          <w:rFonts w:eastAsiaTheme="minorEastAsia"/>
        </w:rPr>
        <w:tab/>
      </w:r>
      <w:r w:rsidR="008842EA">
        <w:rPr>
          <w:rFonts w:eastAsiaTheme="minorEastAsia"/>
        </w:rPr>
        <w:tab/>
      </w:r>
      <w:r w:rsidR="008842EA">
        <w:rPr>
          <w:rFonts w:eastAsiaTheme="minorEastAsia"/>
        </w:rPr>
        <w:tab/>
      </w:r>
      <w:r w:rsidR="008842EA">
        <w:rPr>
          <w:rFonts w:eastAsiaTheme="minorEastAsia"/>
        </w:rPr>
        <w:tab/>
      </w:r>
      <w:r w:rsidR="008842EA">
        <w:rPr>
          <w:rFonts w:eastAsiaTheme="minorEastAsia"/>
        </w:rPr>
        <w:tab/>
      </w:r>
      <w:r w:rsidR="008842EA">
        <w:rPr>
          <w:rFonts w:eastAsiaTheme="minorEastAsia"/>
        </w:rPr>
        <w:tab/>
        <w:t>(3</w:t>
      </w:r>
      <w:r w:rsidR="00AD12A6">
        <w:rPr>
          <w:rFonts w:eastAsiaTheme="minorEastAsia"/>
        </w:rPr>
        <w:t>b</w:t>
      </w:r>
      <w:r w:rsidR="008842EA">
        <w:rPr>
          <w:rFonts w:eastAsiaTheme="minorEastAsia"/>
        </w:rPr>
        <w:t>)</w:t>
      </w:r>
    </w:p>
    <w:p w:rsidR="00365757" w:rsidRDefault="00517A00" w:rsidP="0050757A">
      <w:pPr>
        <w:spacing w:after="0" w:line="480" w:lineRule="auto"/>
        <w:rPr>
          <w:rFonts w:cs="Times New Roman"/>
        </w:rPr>
      </w:pPr>
      <w:proofErr w:type="gramStart"/>
      <w:r>
        <w:rPr>
          <w:rFonts w:cs="Times New Roman"/>
        </w:rPr>
        <w:t>where</w:t>
      </w:r>
      <w:proofErr w:type="gramEnd"/>
      <w:r>
        <w:rPr>
          <w:rFonts w:cs="Times New Roman"/>
        </w:rPr>
        <w:t xml:space="preserve"> </w:t>
      </w:r>
      <m:oMath>
        <m:sSub>
          <m:sSubPr>
            <m:ctrlPr>
              <w:rPr>
                <w:rFonts w:ascii="Cambria Math" w:hAnsi="Cambria Math"/>
                <w:i/>
              </w:rPr>
            </m:ctrlPr>
          </m:sSubPr>
          <m:e>
            <m:r>
              <w:rPr>
                <w:rFonts w:ascii="Cambria Math" w:hAnsi="Cambria Math"/>
              </w:rPr>
              <m:t>θ</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rPr>
          <w:rFonts w:cs="Times New Roman"/>
        </w:rPr>
        <w:t xml:space="preserve"> is </w:t>
      </w:r>
      <w:r w:rsidR="006162EB">
        <w:rPr>
          <w:rFonts w:cs="Times New Roman"/>
        </w:rPr>
        <w:t xml:space="preserve">group 1’s share of enrollment </w:t>
      </w:r>
      <w:r w:rsidR="00FA0B81">
        <w:rPr>
          <w:rFonts w:cs="Times New Roman"/>
        </w:rPr>
        <w:t>in</w:t>
      </w:r>
      <w:r w:rsidR="006162EB">
        <w:rPr>
          <w:rFonts w:cs="Times New Roman"/>
        </w:rPr>
        <w:t xml:space="preserve"> period </w:t>
      </w:r>
      <m:oMath>
        <m:r>
          <w:rPr>
            <w:rFonts w:ascii="Cambria Math" w:hAnsi="Cambria Math"/>
          </w:rPr>
          <m:t>t</m:t>
        </m:r>
      </m:oMath>
      <w:r w:rsidR="005046C9">
        <w:rPr>
          <w:rFonts w:cs="Times New Roman"/>
        </w:rPr>
        <w:t xml:space="preserve">. </w:t>
      </w:r>
      <w:r w:rsidR="00024E1A">
        <w:rPr>
          <w:rFonts w:cs="Times New Roman"/>
        </w:rPr>
        <w:t>The overall retention rate for a given period is, therefore, the weighted average of the retention rates of the relevant student groups for that period</w:t>
      </w:r>
      <w:r w:rsidR="005046C9">
        <w:rPr>
          <w:rFonts w:cs="Times New Roman"/>
        </w:rPr>
        <w:t xml:space="preserve">. </w:t>
      </w:r>
    </w:p>
    <w:p w:rsidR="00365757" w:rsidRDefault="00F70711" w:rsidP="0050757A">
      <w:pPr>
        <w:spacing w:after="0" w:line="480" w:lineRule="auto"/>
        <w:ind w:firstLine="720"/>
        <w:rPr>
          <w:rFonts w:eastAsiaTheme="minorEastAsia" w:cs="Times New Roman"/>
        </w:rPr>
      </w:pPr>
      <w:r>
        <w:rPr>
          <w:rFonts w:cs="Times New Roman"/>
        </w:rPr>
        <w:t xml:space="preserve">We can define the change in the </w:t>
      </w:r>
      <w:r w:rsidR="00D2374C">
        <w:rPr>
          <w:rFonts w:cs="Times New Roman"/>
        </w:rPr>
        <w:t xml:space="preserve">overall </w:t>
      </w:r>
      <w:r>
        <w:rPr>
          <w:rFonts w:cs="Times New Roman"/>
        </w:rPr>
        <w:t>retention</w:t>
      </w:r>
      <w:r w:rsidR="007C4023">
        <w:rPr>
          <w:rFonts w:cs="Times New Roman"/>
        </w:rPr>
        <w:t xml:space="preserve"> rate</w:t>
      </w:r>
      <w:r>
        <w:rPr>
          <w:rFonts w:cs="Times New Roman"/>
        </w:rPr>
        <w:t xml:space="preserve"> between the pre- and post-HOPE periods </w:t>
      </w:r>
      <w:proofErr w:type="gramStart"/>
      <w:r>
        <w:rPr>
          <w:rFonts w:cs="Times New Roman"/>
        </w:rPr>
        <w:t xml:space="preserve">as </w:t>
      </w:r>
      <w:proofErr w:type="gramEnd"/>
      <m:oMath>
        <m:r>
          <w:rPr>
            <w:rFonts w:ascii="Cambria Math" w:hAnsi="Cambria Math" w:cs="Times New Roman"/>
          </w:rPr>
          <m:t>∆</m:t>
        </m:r>
        <m:r>
          <w:rPr>
            <w:rFonts w:ascii="Cambria Math" w:hAnsi="Cambria Math"/>
          </w:rPr>
          <m:t>ρ</m:t>
        </m:r>
        <m:sSub>
          <m:sSubPr>
            <m:ctrlPr>
              <w:rPr>
                <w:rFonts w:ascii="Cambria Math" w:hAnsi="Cambria Math"/>
                <w:i/>
              </w:rPr>
            </m:ctrlPr>
          </m:sSubPr>
          <m:e>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-ρ</m:t>
            </m:r>
          </m:e>
          <m:sub>
            <m:r>
              <w:rPr>
                <w:rFonts w:ascii="Cambria Math" w:hAnsi="Cambria Math"/>
              </w:rPr>
              <m:t>1</m:t>
            </m:r>
          </m:sub>
        </m:sSub>
      </m:oMath>
      <w:r w:rsidR="005046C9">
        <w:rPr>
          <w:rFonts w:eastAsiaTheme="minorEastAsia" w:cs="Times New Roman"/>
        </w:rPr>
        <w:t xml:space="preserve">. </w:t>
      </w:r>
      <w:r w:rsidR="00FF45FC">
        <w:rPr>
          <w:rFonts w:eastAsiaTheme="minorEastAsia" w:cs="Times New Roman"/>
        </w:rPr>
        <w:t>We can</w:t>
      </w:r>
      <w:r w:rsidR="004F7403">
        <w:rPr>
          <w:rFonts w:eastAsiaTheme="minorEastAsia" w:cs="Times New Roman"/>
        </w:rPr>
        <w:t xml:space="preserve"> add </w:t>
      </w:r>
      <w:r w:rsidR="00FF45FC">
        <w:rPr>
          <w:rFonts w:eastAsiaTheme="minorEastAsia" w:cs="Times New Roman"/>
        </w:rPr>
        <w:t>(</w:t>
      </w:r>
      <m:oMath>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oMath>
      <w:r w:rsidR="004F7403">
        <w:rPr>
          <w:rFonts w:eastAsiaTheme="minorEastAsia" w:cs="Times New Roman"/>
        </w:rPr>
        <w:t xml:space="preserve"> and </w:t>
      </w:r>
      <w:r w:rsidR="00FF45FC">
        <w:rPr>
          <w:rFonts w:eastAsiaTheme="minorEastAsia" w:cs="Times New Roman"/>
        </w:rPr>
        <w:t>(</w:t>
      </w:r>
      <m:oMath>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oMath>
      <w:r w:rsidR="00FF45FC">
        <w:rPr>
          <w:rFonts w:eastAsiaTheme="minorEastAsia" w:cs="Times New Roman"/>
        </w:rPr>
        <w:t xml:space="preserve"> to </w:t>
      </w:r>
      <m:oMath>
        <m:r>
          <w:rPr>
            <w:rFonts w:ascii="Cambria Math" w:hAnsi="Cambria Math" w:cs="Times New Roman"/>
          </w:rPr>
          <m:t>∆</m:t>
        </m:r>
        <m:r>
          <w:rPr>
            <w:rFonts w:ascii="Cambria Math" w:hAnsi="Cambria Math"/>
          </w:rPr>
          <m:t>ρ</m:t>
        </m:r>
      </m:oMath>
      <w:r w:rsidR="00FF45FC">
        <w:rPr>
          <w:rFonts w:eastAsiaTheme="minorEastAsia" w:cs="Times New Roman"/>
        </w:rPr>
        <w:t xml:space="preserve"> and</w:t>
      </w:r>
      <w:r w:rsidR="004F7403">
        <w:rPr>
          <w:rFonts w:eastAsiaTheme="minorEastAsia" w:cs="Times New Roman"/>
        </w:rPr>
        <w:t xml:space="preserve"> rearrange to obtain:</w:t>
      </w:r>
    </w:p>
    <w:p w:rsidR="00365757" w:rsidRDefault="004F7403" w:rsidP="00883E37">
      <w:pPr>
        <w:spacing w:after="0" w:line="480" w:lineRule="auto"/>
        <w:ind w:firstLine="720"/>
        <w:rPr>
          <w:rFonts w:cs="Times New Roman"/>
        </w:rPr>
      </w:pPr>
      <m:oMath>
        <m:r>
          <w:rPr>
            <w:rFonts w:ascii="Cambria Math" w:hAnsi="Cambria Math" w:cs="Times New Roman"/>
          </w:rPr>
          <m:t>∆</m:t>
        </m:r>
        <m:r>
          <w:rPr>
            <w:rFonts w:ascii="Cambria Math" w:hAnsi="Cambria Math"/>
          </w:rPr>
          <m:t>ρ=</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11</m:t>
                </m:r>
              </m:sub>
            </m:sSub>
          </m:e>
        </m:d>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31</m:t>
                </m:r>
              </m:sub>
            </m:sSub>
          </m:e>
        </m:d>
        <m:r>
          <w:rPr>
            <w:rFonts w:ascii="Cambria Math" w:eastAsiaTheme="minorEastAsia" w:hAnsi="Cambria Math" w:cs="Times New Roman"/>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12</m:t>
                </m:r>
              </m:sub>
            </m:sSub>
          </m:e>
        </m:d>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22</m:t>
                </m:r>
              </m:sub>
            </m:sSub>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oMath>
      <w:r w:rsidR="004A4E96">
        <w:rPr>
          <w:rFonts w:eastAsiaTheme="minorEastAsia" w:cs="Times New Roman"/>
        </w:rPr>
        <w:tab/>
      </w:r>
      <w:r w:rsidR="004A4E96">
        <w:rPr>
          <w:rFonts w:eastAsiaTheme="minorEastAsia" w:cs="Times New Roman"/>
        </w:rPr>
        <w:tab/>
        <w:t>(4)</w:t>
      </w:r>
    </w:p>
    <w:p w:rsidR="003645BA" w:rsidRDefault="0062645B" w:rsidP="00CB3BCE">
      <w:pPr>
        <w:spacing w:line="480" w:lineRule="auto"/>
        <w:rPr>
          <w:rFonts w:eastAsiaTheme="minorEastAsia" w:cs="Times New Roman"/>
        </w:rPr>
      </w:pPr>
      <w:r>
        <w:rPr>
          <w:rFonts w:cs="Times New Roman"/>
        </w:rPr>
        <w:lastRenderedPageBreak/>
        <w:t>The</w:t>
      </w:r>
      <w:r w:rsidR="006B2341">
        <w:rPr>
          <w:rFonts w:cs="Times New Roman"/>
        </w:rPr>
        <w:t xml:space="preserve"> sign of </w:t>
      </w:r>
      <m:oMath>
        <m:r>
          <w:rPr>
            <w:rFonts w:ascii="Cambria Math" w:hAnsi="Cambria Math" w:cs="Times New Roman"/>
          </w:rPr>
          <m:t>∆</m:t>
        </m:r>
        <m:r>
          <w:rPr>
            <w:rFonts w:ascii="Cambria Math" w:hAnsi="Cambria Math"/>
          </w:rPr>
          <m:t>ρ</m:t>
        </m:r>
      </m:oMath>
      <w:r w:rsidR="006B2341">
        <w:rPr>
          <w:rFonts w:cs="Times New Roman"/>
        </w:rPr>
        <w:t xml:space="preserve"> will depend on the relationships between the various parameters in equation (4)</w:t>
      </w:r>
      <w:r w:rsidR="005046C9">
        <w:rPr>
          <w:rFonts w:cs="Times New Roman"/>
        </w:rPr>
        <w:t xml:space="preserve">. </w:t>
      </w:r>
      <w:r w:rsidR="003645BA">
        <w:rPr>
          <w:rFonts w:eastAsiaTheme="minorEastAsia" w:cs="Times New Roman"/>
        </w:rPr>
        <w:t xml:space="preserve">Signing </w:t>
      </w:r>
      <m:oMath>
        <m:r>
          <w:rPr>
            <w:rFonts w:ascii="Cambria Math" w:hAnsi="Cambria Math" w:cs="Times New Roman"/>
          </w:rPr>
          <m:t>∆</m:t>
        </m:r>
        <m:r>
          <w:rPr>
            <w:rFonts w:ascii="Cambria Math" w:hAnsi="Cambria Math"/>
          </w:rPr>
          <m:t>ρ</m:t>
        </m:r>
      </m:oMath>
      <w:r w:rsidR="003645BA">
        <w:rPr>
          <w:rFonts w:eastAsiaTheme="minorEastAsia" w:cs="Times New Roman"/>
        </w:rPr>
        <w:t xml:space="preserve"> is further complicated by the fact that </w:t>
      </w:r>
      <w:r w:rsidR="00D12126">
        <w:rPr>
          <w:rFonts w:eastAsiaTheme="minorEastAsia" w:cs="Times New Roman"/>
        </w:rPr>
        <w:t>g</w:t>
      </w:r>
      <w:r w:rsidR="003645BA">
        <w:rPr>
          <w:rFonts w:eastAsiaTheme="minorEastAsia" w:cs="Times New Roman"/>
        </w:rPr>
        <w:t xml:space="preserve">roup 2 actually consists of the three subgroups of HOPE stayers discussed above, which we refer to as groups </w:t>
      </w:r>
      <w:r w:rsidR="00B073C9">
        <w:rPr>
          <w:rFonts w:eastAsiaTheme="minorEastAsia" w:cs="Times New Roman"/>
        </w:rPr>
        <w:t>2a</w:t>
      </w:r>
      <w:r w:rsidR="003645BA">
        <w:rPr>
          <w:rFonts w:eastAsiaTheme="minorEastAsia" w:cs="Times New Roman"/>
        </w:rPr>
        <w:t xml:space="preserve">, </w:t>
      </w:r>
      <w:r w:rsidR="00B073C9">
        <w:rPr>
          <w:rFonts w:eastAsiaTheme="minorEastAsia" w:cs="Times New Roman"/>
        </w:rPr>
        <w:t>2b</w:t>
      </w:r>
      <w:r w:rsidR="003645BA">
        <w:rPr>
          <w:rFonts w:eastAsiaTheme="minorEastAsia" w:cs="Times New Roman"/>
        </w:rPr>
        <w:t xml:space="preserve">, and </w:t>
      </w:r>
      <w:r w:rsidR="00B073C9">
        <w:rPr>
          <w:rFonts w:eastAsiaTheme="minorEastAsia" w:cs="Times New Roman"/>
        </w:rPr>
        <w:t>2c</w:t>
      </w:r>
      <w:r w:rsidR="003B001E">
        <w:rPr>
          <w:rFonts w:eastAsiaTheme="minorEastAsia" w:cs="Times New Roman"/>
        </w:rPr>
        <w:t>, respectively,</w:t>
      </w:r>
      <w:r w:rsidR="003645BA">
        <w:rPr>
          <w:rFonts w:eastAsiaTheme="minorEastAsia" w:cs="Times New Roman"/>
        </w:rPr>
        <w:t xml:space="preserve"> so that </w:t>
      </w:r>
      <m:oMath>
        <m:sSub>
          <m:sSubPr>
            <m:ctrlPr>
              <w:rPr>
                <w:rFonts w:ascii="Cambria Math" w:hAnsi="Cambria Math"/>
                <w:i/>
              </w:rPr>
            </m:ctrlPr>
          </m:sSubPr>
          <m:e>
            <m:r>
              <w:rPr>
                <w:rFonts w:ascii="Cambria Math" w:hAnsi="Cambria Math"/>
              </w:rPr>
              <m:t>ρ</m:t>
            </m:r>
          </m:e>
          <m:sub>
            <m:r>
              <w:rPr>
                <w:rFonts w:ascii="Cambria Math" w:hAnsi="Cambria Math"/>
              </w:rPr>
              <m:t>22</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rPr>
                  <m:t>2a2</m:t>
                </m:r>
              </m:sub>
            </m:sSub>
            <m:r>
              <w:rPr>
                <w:rFonts w:ascii="Cambria Math" w:hAnsi="Cambria Math"/>
              </w:rPr>
              <m:t>ρ</m:t>
            </m:r>
          </m:e>
          <m:sub>
            <m:r>
              <w:rPr>
                <w:rFonts w:ascii="Cambria Math" w:hAnsi="Cambria Math"/>
              </w:rPr>
              <m:t>2a2</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rPr>
                  <m:t>2b2</m:t>
                </m:r>
              </m:sub>
            </m:sSub>
            <m:r>
              <w:rPr>
                <w:rFonts w:ascii="Cambria Math" w:hAnsi="Cambria Math"/>
              </w:rPr>
              <m:t>ρ</m:t>
            </m:r>
          </m:e>
          <m:sub>
            <m:r>
              <w:rPr>
                <w:rFonts w:ascii="Cambria Math" w:hAnsi="Cambria Math"/>
              </w:rPr>
              <m:t>2b2</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rPr>
                  <m:t>2c2</m:t>
                </m:r>
              </m:sub>
            </m:sSub>
            <m:r>
              <w:rPr>
                <w:rFonts w:ascii="Cambria Math" w:hAnsi="Cambria Math"/>
              </w:rPr>
              <m:t>ρ</m:t>
            </m:r>
          </m:e>
          <m:sub>
            <m:r>
              <w:rPr>
                <w:rFonts w:ascii="Cambria Math" w:hAnsi="Cambria Math"/>
              </w:rPr>
              <m:t>2c2</m:t>
            </m:r>
          </m:sub>
        </m:sSub>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12</m:t>
            </m:r>
          </m:sub>
        </m:sSub>
        <m:r>
          <w:rPr>
            <w:rFonts w:ascii="Cambria Math" w:hAnsi="Cambria Math"/>
          </w:rPr>
          <m:t>)</m:t>
        </m:r>
      </m:oMath>
      <w:r w:rsidR="005046C9">
        <w:rPr>
          <w:rFonts w:eastAsiaTheme="minorEastAsia" w:cs="Times New Roman"/>
        </w:rPr>
        <w:t xml:space="preserve">. </w:t>
      </w:r>
      <w:r w:rsidR="003645BA">
        <w:rPr>
          <w:rFonts w:eastAsiaTheme="minorEastAsia" w:cs="Times New Roman"/>
        </w:rPr>
        <w:t>These subgroups likely have different retention probabilities, which makes the change in the overall retention rate</w:t>
      </w:r>
      <w:proofErr w:type="gramStart"/>
      <w:r w:rsidR="003645BA">
        <w:rPr>
          <w:rFonts w:eastAsiaTheme="minorEastAsia" w:cs="Times New Roman"/>
        </w:rPr>
        <w:t xml:space="preserve">, </w:t>
      </w:r>
      <w:proofErr w:type="gramEnd"/>
      <m:oMath>
        <m:r>
          <w:rPr>
            <w:rFonts w:ascii="Cambria Math" w:hAnsi="Cambria Math" w:cs="Times New Roman"/>
          </w:rPr>
          <m:t>∆</m:t>
        </m:r>
        <m:r>
          <w:rPr>
            <w:rFonts w:ascii="Cambria Math" w:hAnsi="Cambria Math"/>
          </w:rPr>
          <m:t>ρ</m:t>
        </m:r>
      </m:oMath>
      <w:r w:rsidR="003645BA">
        <w:rPr>
          <w:rFonts w:eastAsiaTheme="minorEastAsia" w:cs="Times New Roman"/>
        </w:rPr>
        <w:t>, harder to predict</w:t>
      </w:r>
      <w:r w:rsidR="005046C9">
        <w:rPr>
          <w:rFonts w:eastAsiaTheme="minorEastAsia" w:cs="Times New Roman"/>
        </w:rPr>
        <w:t xml:space="preserve">. </w:t>
      </w:r>
      <w:r w:rsidR="003645BA">
        <w:rPr>
          <w:rFonts w:eastAsiaTheme="minorEastAsia" w:cs="Times New Roman"/>
        </w:rPr>
        <w:t xml:space="preserve">However, Cornwell, Mustard and Sridhar (2006) suggest that two-thirds of the increased enrollment from HOPE is due to fewer students leaving the state, so we expect this subgroup to dominate the overall retention rate of </w:t>
      </w:r>
      <w:r w:rsidR="00D12126">
        <w:rPr>
          <w:rFonts w:eastAsiaTheme="minorEastAsia" w:cs="Times New Roman"/>
        </w:rPr>
        <w:t>g</w:t>
      </w:r>
      <w:r w:rsidR="003645BA">
        <w:rPr>
          <w:rFonts w:eastAsiaTheme="minorEastAsia" w:cs="Times New Roman"/>
        </w:rPr>
        <w:t>roup 2.</w:t>
      </w:r>
    </w:p>
    <w:p w:rsidR="001825E7" w:rsidRDefault="003645BA" w:rsidP="006D3136">
      <w:pPr>
        <w:spacing w:line="480" w:lineRule="auto"/>
        <w:ind w:firstLine="720"/>
        <w:rPr>
          <w:rFonts w:eastAsiaTheme="minorEastAsia" w:cs="Times New Roman"/>
        </w:rPr>
      </w:pPr>
      <w:r>
        <w:rPr>
          <w:rFonts w:eastAsiaTheme="minorEastAsia" w:cs="Times New Roman"/>
        </w:rPr>
        <w:t>Our prior is that the change in the overall retention rate will be negative</w:t>
      </w:r>
      <w:r w:rsidR="005046C9">
        <w:rPr>
          <w:rFonts w:eastAsiaTheme="minorEastAsia" w:cs="Times New Roman"/>
        </w:rPr>
        <w:t xml:space="preserve">. </w:t>
      </w:r>
      <w:r w:rsidR="006B2341">
        <w:rPr>
          <w:rFonts w:cs="Times New Roman"/>
        </w:rPr>
        <w:t xml:space="preserve">The change in the retention rate </w:t>
      </w:r>
      <w:r w:rsidR="0062645B">
        <w:rPr>
          <w:rFonts w:cs="Times New Roman"/>
        </w:rPr>
        <w:t>will be negative if</w:t>
      </w:r>
      <w:r w:rsidR="006B2341">
        <w:rPr>
          <w:rFonts w:cs="Times New Roman"/>
        </w:rPr>
        <w:t xml:space="preserve"> </w:t>
      </w:r>
      <m:oMath>
        <m:sSub>
          <m:sSubPr>
            <m:ctrlPr>
              <w:rPr>
                <w:rFonts w:ascii="Cambria Math" w:hAnsi="Cambria Math"/>
                <w:i/>
              </w:rPr>
            </m:ctrlPr>
          </m:sSubPr>
          <m:e>
            <m:r>
              <w:rPr>
                <w:rFonts w:ascii="Cambria Math" w:hAnsi="Cambria Math"/>
              </w:rPr>
              <m:t>θ</m:t>
            </m:r>
          </m:e>
          <m:sub>
            <m:r>
              <w:rPr>
                <w:rFonts w:ascii="Cambria Math" w:hAnsi="Cambria Math"/>
              </w:rPr>
              <m:t>11</m:t>
            </m:r>
          </m:sub>
        </m:sSub>
        <m:r>
          <w:rPr>
            <w:rFonts w:ascii="Cambria Math" w:eastAsiaTheme="minorEastAsia" w:hAnsi="Cambria Math" w:cs="Times New Roman"/>
          </w:rPr>
          <m:t>&gt;</m:t>
        </m:r>
        <m:sSub>
          <m:sSubPr>
            <m:ctrlPr>
              <w:rPr>
                <w:rFonts w:ascii="Cambria Math" w:hAnsi="Cambria Math"/>
                <w:i/>
              </w:rPr>
            </m:ctrlPr>
          </m:sSubPr>
          <m:e>
            <m:r>
              <w:rPr>
                <w:rFonts w:ascii="Cambria Math" w:hAnsi="Cambria Math"/>
              </w:rPr>
              <m:t>θ</m:t>
            </m:r>
          </m:e>
          <m:sub>
            <m:r>
              <w:rPr>
                <w:rFonts w:ascii="Cambria Math" w:hAnsi="Cambria Math"/>
              </w:rPr>
              <m:t>12</m:t>
            </m:r>
          </m:sub>
        </m:sSub>
      </m:oMath>
      <w:r w:rsidR="006B2341">
        <w:rPr>
          <w:rFonts w:eastAsiaTheme="minorEastAsia" w:cs="Times New Roman"/>
        </w:rPr>
        <w:t xml:space="preserve"> </w:t>
      </w:r>
      <w:proofErr w:type="gramStart"/>
      <w:r w:rsidR="006B2341">
        <w:rPr>
          <w:rFonts w:cs="Times New Roman"/>
        </w:rPr>
        <w:t>and</w:t>
      </w:r>
      <w:r w:rsidR="0062645B">
        <w:rPr>
          <w:rFonts w:cs="Times New Roman"/>
        </w:rPr>
        <w:t xml:space="preserve"> </w:t>
      </w:r>
      <w:proofErr w:type="gramEnd"/>
      <m:oMath>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&gt;</m:t>
        </m:r>
        <m:sSub>
          <m:sSubPr>
            <m:ctrlPr>
              <w:rPr>
                <w:rFonts w:ascii="Cambria Math" w:hAnsi="Cambria Math"/>
                <w:i/>
              </w:rPr>
            </m:ctrlPr>
          </m:sSubPr>
          <m:e>
            <m:r>
              <w:rPr>
                <w:rFonts w:ascii="Cambria Math" w:hAnsi="Cambria Math"/>
              </w:rPr>
              <m:t>ρ</m:t>
            </m:r>
          </m:e>
          <m:sub>
            <m:r>
              <w:rPr>
                <w:rFonts w:ascii="Cambria Math" w:hAnsi="Cambria Math"/>
              </w:rPr>
              <m:t>31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22</m:t>
            </m:r>
          </m:sub>
        </m:sSub>
      </m:oMath>
      <w:r w:rsidR="002E7A43">
        <w:rPr>
          <w:rFonts w:eastAsiaTheme="minorEastAsia" w:cs="Times New Roman"/>
        </w:rPr>
        <w:t>.</w:t>
      </w:r>
      <w:r w:rsidR="0042356D">
        <w:rPr>
          <w:rStyle w:val="FootnoteReference"/>
          <w:rFonts w:eastAsiaTheme="minorEastAsia" w:cs="Times New Roman"/>
        </w:rPr>
        <w:footnoteReference w:id="15"/>
      </w:r>
      <w:r w:rsidR="00567F46">
        <w:rPr>
          <w:rFonts w:eastAsiaTheme="minorEastAsia" w:cs="Times New Roman"/>
        </w:rPr>
        <w:t xml:space="preserve"> </w:t>
      </w:r>
      <w:r>
        <w:rPr>
          <w:rFonts w:eastAsiaTheme="minorEastAsia" w:cs="Times New Roman"/>
        </w:rPr>
        <w:t xml:space="preserve">Previous studies have shown that HOPE increased USG enrollment, i.e., HOPE caused more students to “stay” than “leave”, so assuming that </w:t>
      </w:r>
      <m:oMath>
        <m:sSub>
          <m:sSubPr>
            <m:ctrlPr>
              <w:rPr>
                <w:rFonts w:ascii="Cambria Math" w:hAnsi="Cambria Math"/>
                <w:i/>
              </w:rPr>
            </m:ctrlPr>
          </m:sSubPr>
          <m:e>
            <m:r>
              <w:rPr>
                <w:rFonts w:ascii="Cambria Math" w:hAnsi="Cambria Math"/>
              </w:rPr>
              <m:t>θ</m:t>
            </m:r>
          </m:e>
          <m:sub>
            <m:r>
              <w:rPr>
                <w:rFonts w:ascii="Cambria Math" w:hAnsi="Cambria Math"/>
              </w:rPr>
              <m:t>11</m:t>
            </m:r>
          </m:sub>
        </m:sSub>
        <m:r>
          <w:rPr>
            <w:rFonts w:ascii="Cambria Math" w:eastAsiaTheme="minorEastAsia" w:hAnsi="Cambria Math" w:cs="Times New Roman"/>
          </w:rPr>
          <m:t>&gt;</m:t>
        </m:r>
        <m:sSub>
          <m:sSubPr>
            <m:ctrlPr>
              <w:rPr>
                <w:rFonts w:ascii="Cambria Math" w:hAnsi="Cambria Math"/>
                <w:i/>
              </w:rPr>
            </m:ctrlPr>
          </m:sSubPr>
          <m:e>
            <m:r>
              <w:rPr>
                <w:rFonts w:ascii="Cambria Math" w:hAnsi="Cambria Math"/>
              </w:rPr>
              <m:t>θ</m:t>
            </m:r>
          </m:e>
          <m:sub>
            <m:r>
              <w:rPr>
                <w:rFonts w:ascii="Cambria Math" w:hAnsi="Cambria Math"/>
              </w:rPr>
              <m:t>12</m:t>
            </m:r>
          </m:sub>
        </m:sSub>
      </m:oMath>
      <w:r>
        <w:rPr>
          <w:rFonts w:eastAsiaTheme="minorEastAsia" w:cs="Times New Roman"/>
        </w:rPr>
        <w:t xml:space="preserve"> </w:t>
      </w:r>
      <w:r w:rsidR="006D3136">
        <w:rPr>
          <w:rFonts w:eastAsiaTheme="minorEastAsia" w:cs="Times New Roman"/>
        </w:rPr>
        <w:t>is</w:t>
      </w:r>
      <w:r>
        <w:rPr>
          <w:rFonts w:eastAsiaTheme="minorEastAsia" w:cs="Times New Roman"/>
        </w:rPr>
        <w:t xml:space="preserve"> quite reasonable</w:t>
      </w:r>
      <w:r w:rsidR="005046C9">
        <w:rPr>
          <w:rFonts w:eastAsiaTheme="minorEastAsia" w:cs="Times New Roman"/>
        </w:rPr>
        <w:t xml:space="preserve">. </w:t>
      </w:r>
      <w:r>
        <w:rPr>
          <w:rFonts w:eastAsiaTheme="minorEastAsia" w:cs="Times New Roman"/>
        </w:rPr>
        <w:t>The hypothesized relationships between the group-period retention rates seem fairly reasonable</w:t>
      </w:r>
      <w:r w:rsidR="006D3136">
        <w:rPr>
          <w:rFonts w:eastAsiaTheme="minorEastAsia" w:cs="Times New Roman"/>
        </w:rPr>
        <w:t xml:space="preserve"> as well</w:t>
      </w:r>
      <w:r w:rsidR="005046C9">
        <w:rPr>
          <w:rFonts w:eastAsiaTheme="minorEastAsia" w:cs="Times New Roman"/>
        </w:rPr>
        <w:t xml:space="preserve">. </w:t>
      </w:r>
      <w:r w:rsidR="0042356D">
        <w:rPr>
          <w:rFonts w:eastAsiaTheme="minorEastAsia" w:cs="Times New Roman"/>
        </w:rPr>
        <w:t xml:space="preserve">First, </w:t>
      </w:r>
      <m:oMath>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12</m:t>
            </m:r>
          </m:sub>
        </m:sSub>
      </m:oMath>
      <w:r w:rsidR="0042356D">
        <w:rPr>
          <w:rFonts w:eastAsiaTheme="minorEastAsia" w:cs="Times New Roman"/>
        </w:rPr>
        <w:t xml:space="preserve"> says that HOPE did not affect the </w:t>
      </w:r>
      <w:r w:rsidR="00363AD4">
        <w:rPr>
          <w:rFonts w:eastAsiaTheme="minorEastAsia" w:cs="Times New Roman"/>
        </w:rPr>
        <w:t>post-college</w:t>
      </w:r>
      <w:r w:rsidR="0042356D">
        <w:rPr>
          <w:rFonts w:eastAsiaTheme="minorEastAsia" w:cs="Times New Roman"/>
        </w:rPr>
        <w:t xml:space="preserve"> retention rate of group 1, the group of students who would have enrolled in the USG regardless of the HOPE program</w:t>
      </w:r>
      <w:r w:rsidR="005046C9">
        <w:rPr>
          <w:rFonts w:eastAsiaTheme="minorEastAsia" w:cs="Times New Roman"/>
        </w:rPr>
        <w:t xml:space="preserve">. </w:t>
      </w:r>
      <w:r w:rsidR="0042356D">
        <w:rPr>
          <w:rFonts w:eastAsiaTheme="minorEastAsia" w:cs="Times New Roman"/>
        </w:rPr>
        <w:t>The sufficient condition also says that group 1 students have higher retention rates than group 2 and 3 students</w:t>
      </w:r>
      <w:r w:rsidR="005046C9">
        <w:rPr>
          <w:rFonts w:eastAsiaTheme="minorEastAsia" w:cs="Times New Roman"/>
        </w:rPr>
        <w:t xml:space="preserve">. </w:t>
      </w:r>
      <w:r w:rsidR="0042356D">
        <w:rPr>
          <w:rFonts w:eastAsiaTheme="minorEastAsia" w:cs="Times New Roman"/>
        </w:rPr>
        <w:t>That is, it assumes that students who would attend the USG regardless of HOPE have a greater attachment to living</w:t>
      </w:r>
      <w:r w:rsidR="00EB6AD4">
        <w:rPr>
          <w:rFonts w:eastAsiaTheme="minorEastAsia" w:cs="Times New Roman"/>
        </w:rPr>
        <w:t xml:space="preserve"> and working</w:t>
      </w:r>
      <w:r w:rsidR="0042356D">
        <w:rPr>
          <w:rFonts w:eastAsiaTheme="minorEastAsia" w:cs="Times New Roman"/>
        </w:rPr>
        <w:t xml:space="preserve"> in Georgia than students whose college decisions depend on HOPE</w:t>
      </w:r>
      <w:r w:rsidR="005046C9">
        <w:rPr>
          <w:rFonts w:eastAsiaTheme="minorEastAsia" w:cs="Times New Roman"/>
        </w:rPr>
        <w:t xml:space="preserve">. </w:t>
      </w:r>
      <w:r w:rsidR="00A10A47">
        <w:rPr>
          <w:rFonts w:eastAsiaTheme="minorEastAsia" w:cs="Times New Roman"/>
        </w:rPr>
        <w:t xml:space="preserve">Finally, </w:t>
      </w:r>
      <m:oMath>
        <m:sSub>
          <m:sSubPr>
            <m:ctrlPr>
              <w:rPr>
                <w:rFonts w:ascii="Cambria Math" w:hAnsi="Cambria Math"/>
                <w:i/>
              </w:rPr>
            </m:ctrlPr>
          </m:sSubPr>
          <m:e>
            <m:r>
              <w:rPr>
                <w:rFonts w:ascii="Cambria Math" w:hAnsi="Cambria Math"/>
              </w:rPr>
              <m:t>ρ</m:t>
            </m:r>
          </m:e>
          <m:sub>
            <m:r>
              <w:rPr>
                <w:rFonts w:ascii="Cambria Math" w:hAnsi="Cambria Math"/>
              </w:rPr>
              <m:t>31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22</m:t>
            </m:r>
          </m:sub>
        </m:sSub>
      </m:oMath>
      <w:r w:rsidR="00A10A47">
        <w:rPr>
          <w:rFonts w:eastAsiaTheme="minorEastAsia" w:cs="Times New Roman"/>
        </w:rPr>
        <w:t xml:space="preserve"> says that “HOPE stayers” do not have higher retention rates than “HOPE leavers”, i.e., those who enroll in the USG because of HOPE do not have a stronger attachment to living and working in Georgia than those who would have enrolled in the USG in the absence of HOPE but are pushed out by HOPE</w:t>
      </w:r>
      <w:r w:rsidR="005046C9">
        <w:rPr>
          <w:rFonts w:eastAsiaTheme="minorEastAsia" w:cs="Times New Roman"/>
        </w:rPr>
        <w:t xml:space="preserve">. </w:t>
      </w:r>
      <w:r w:rsidR="006D3136">
        <w:rPr>
          <w:rFonts w:eastAsiaTheme="minorEastAsia" w:cs="Times New Roman"/>
        </w:rPr>
        <w:t xml:space="preserve">Again, we expect </w:t>
      </w:r>
      <w:r w:rsidR="00D12126">
        <w:rPr>
          <w:rFonts w:eastAsiaTheme="minorEastAsia" w:cs="Times New Roman"/>
        </w:rPr>
        <w:t>g</w:t>
      </w:r>
      <w:r w:rsidR="006D3136">
        <w:rPr>
          <w:rFonts w:eastAsiaTheme="minorEastAsia" w:cs="Times New Roman"/>
        </w:rPr>
        <w:t xml:space="preserve">roup 2 to be dominated by students </w:t>
      </w:r>
      <w:r w:rsidR="006D3136">
        <w:rPr>
          <w:rFonts w:eastAsiaTheme="minorEastAsia" w:cs="Times New Roman"/>
        </w:rPr>
        <w:lastRenderedPageBreak/>
        <w:t>who would have gone to college out of state but enroll in the USG because of HOPE</w:t>
      </w:r>
      <w:r w:rsidR="005046C9">
        <w:rPr>
          <w:rFonts w:eastAsiaTheme="minorEastAsia" w:cs="Times New Roman"/>
        </w:rPr>
        <w:t xml:space="preserve">. </w:t>
      </w:r>
      <w:r w:rsidR="006D3136">
        <w:rPr>
          <w:rFonts w:eastAsiaTheme="minorEastAsia" w:cs="Times New Roman"/>
        </w:rPr>
        <w:t>These students are likely to have the weakest attachment to staying in the state after college.</w:t>
      </w:r>
    </w:p>
    <w:p w:rsidR="0086762C" w:rsidRDefault="00567F46">
      <w:pPr>
        <w:spacing w:line="480" w:lineRule="auto"/>
        <w:ind w:firstLine="720"/>
        <w:rPr>
          <w:rFonts w:eastAsiaTheme="minorEastAsia" w:cs="Times New Roman"/>
        </w:rPr>
      </w:pPr>
      <w:r>
        <w:rPr>
          <w:rFonts w:eastAsiaTheme="minorEastAsia" w:cs="Times New Roman"/>
        </w:rPr>
        <w:t xml:space="preserve"> </w:t>
      </w:r>
      <w:r w:rsidR="00764590">
        <w:rPr>
          <w:rFonts w:eastAsiaTheme="minorEastAsia" w:cs="Times New Roman"/>
        </w:rPr>
        <w:t xml:space="preserve">As a special case, one might consider the change in the overall retention rate </w:t>
      </w:r>
      <w:proofErr w:type="gramStart"/>
      <w:r w:rsidR="00764590">
        <w:rPr>
          <w:rFonts w:eastAsiaTheme="minorEastAsia" w:cs="Times New Roman"/>
        </w:rPr>
        <w:t xml:space="preserve">if </w:t>
      </w:r>
      <w:proofErr w:type="gramEnd"/>
      <m:oMath>
        <m:sSub>
          <m:sSubPr>
            <m:ctrlPr>
              <w:rPr>
                <w:rFonts w:ascii="Cambria Math" w:hAnsi="Cambria Math"/>
                <w:i/>
              </w:rPr>
            </m:ctrlPr>
          </m:sSubPr>
          <m:e>
            <m:r>
              <w:rPr>
                <w:rFonts w:ascii="Cambria Math" w:hAnsi="Cambria Math"/>
              </w:rPr>
              <m:t>E</m:t>
            </m:r>
          </m:e>
          <m:sub>
            <m:r>
              <w:rPr>
                <w:rFonts w:ascii="Cambria Math" w:hAnsi="Cambria Math"/>
              </w:rPr>
              <m:t>31</m:t>
            </m:r>
          </m:sub>
        </m:sSub>
        <m:r>
          <w:rPr>
            <w:rFonts w:ascii="Cambria Math" w:hAnsi="Cambria Math"/>
          </w:rPr>
          <m:t>=0</m:t>
        </m:r>
      </m:oMath>
      <w:r w:rsidR="00764590">
        <w:rPr>
          <w:rFonts w:eastAsiaTheme="minorEastAsia" w:cs="Times New Roman"/>
        </w:rPr>
        <w:t>, that is, if there are no student</w:t>
      </w:r>
      <w:r w:rsidR="00476E69">
        <w:rPr>
          <w:rFonts w:eastAsiaTheme="minorEastAsia" w:cs="Times New Roman"/>
        </w:rPr>
        <w:t>s</w:t>
      </w:r>
      <w:r w:rsidR="00764590">
        <w:rPr>
          <w:rFonts w:eastAsiaTheme="minorEastAsia" w:cs="Times New Roman"/>
        </w:rPr>
        <w:t xml:space="preserve"> pushed out by HOPE and group 3 is empty</w:t>
      </w:r>
      <w:r w:rsidR="005046C9">
        <w:rPr>
          <w:rFonts w:eastAsiaTheme="minorEastAsia" w:cs="Times New Roman"/>
        </w:rPr>
        <w:t xml:space="preserve">. </w:t>
      </w:r>
      <w:r w:rsidR="00764590">
        <w:rPr>
          <w:rFonts w:eastAsiaTheme="minorEastAsia" w:cs="Times New Roman"/>
        </w:rPr>
        <w:t xml:space="preserve">In that </w:t>
      </w:r>
      <w:proofErr w:type="gramStart"/>
      <w:r w:rsidR="00764590">
        <w:rPr>
          <w:rFonts w:eastAsiaTheme="minorEastAsia" w:cs="Times New Roman"/>
        </w:rPr>
        <w:t xml:space="preserve">case, </w:t>
      </w:r>
      <m:oMath>
        <m:sSub>
          <m:sSubPr>
            <m:ctrlPr>
              <w:rPr>
                <w:rFonts w:ascii="Cambria Math" w:hAnsi="Cambria Math"/>
                <w:i/>
              </w:rPr>
            </m:ctrlPr>
          </m:sSubPr>
          <m:e>
            <m:r>
              <w:rPr>
                <w:rFonts w:ascii="Cambria Math" w:hAnsi="Cambria Math"/>
              </w:rPr>
              <m:t>θ</m:t>
            </m:r>
          </m:e>
          <m:sub>
            <m:r>
              <w:rPr>
                <w:rFonts w:ascii="Cambria Math" w:hAnsi="Cambria Math"/>
              </w:rPr>
              <m:t>11</m:t>
            </m:r>
          </m:sub>
        </m:sSub>
        <m:r>
          <w:rPr>
            <w:rFonts w:ascii="Cambria Math" w:hAnsi="Cambria Math"/>
          </w:rPr>
          <m:t>=1</m:t>
        </m:r>
      </m:oMath>
      <w:proofErr w:type="gramEnd"/>
      <w:r w:rsidR="00764590">
        <w:rPr>
          <w:rFonts w:eastAsiaTheme="minorEastAsia" w:cs="Times New Roman"/>
        </w:rPr>
        <w:t xml:space="preserve"> and equation (4) becomes:</w:t>
      </w:r>
    </w:p>
    <w:p w:rsidR="00764590" w:rsidRDefault="00764590" w:rsidP="00883E37">
      <w:pPr>
        <w:spacing w:after="0" w:line="480" w:lineRule="auto"/>
        <w:ind w:firstLine="720"/>
        <w:rPr>
          <w:rFonts w:cs="Times New Roman"/>
        </w:rPr>
      </w:pPr>
      <m:oMath>
        <m:r>
          <w:rPr>
            <w:rFonts w:ascii="Cambria Math" w:hAnsi="Cambria Math" w:cs="Times New Roman"/>
          </w:rPr>
          <m:t>∆</m:t>
        </m:r>
        <m:r>
          <w:rPr>
            <w:rFonts w:ascii="Cambria Math" w:hAnsi="Cambria Math"/>
          </w:rPr>
          <m:t>ρ=</m:t>
        </m:r>
        <m:r>
          <w:rPr>
            <w:rFonts w:ascii="Cambria Math" w:eastAsiaTheme="minorEastAsia" w:hAnsi="Cambria Math" w:cs="Times New Roman"/>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12</m:t>
                </m:r>
              </m:sub>
            </m:sSub>
          </m:e>
        </m:d>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22</m:t>
                </m:r>
              </m:sub>
            </m:sSub>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oMath>
      <w:r w:rsidR="002C500B">
        <w:rPr>
          <w:rFonts w:eastAsiaTheme="minorEastAsia" w:cs="Times New Roman"/>
        </w:rPr>
        <w:t>,</w:t>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9152D5">
        <w:rPr>
          <w:rFonts w:eastAsiaTheme="minorEastAsia" w:cs="Times New Roman"/>
        </w:rPr>
        <w:tab/>
      </w:r>
      <w:r>
        <w:rPr>
          <w:rFonts w:eastAsiaTheme="minorEastAsia" w:cs="Times New Roman"/>
        </w:rPr>
        <w:t>(</w:t>
      </w:r>
      <w:r w:rsidR="009152D5">
        <w:rPr>
          <w:rFonts w:eastAsiaTheme="minorEastAsia" w:cs="Times New Roman"/>
        </w:rPr>
        <w:t>5</w:t>
      </w:r>
      <w:r>
        <w:rPr>
          <w:rFonts w:eastAsiaTheme="minorEastAsia" w:cs="Times New Roman"/>
        </w:rPr>
        <w:t>)</w:t>
      </w:r>
    </w:p>
    <w:p w:rsidR="00365757" w:rsidRDefault="009152D5" w:rsidP="0050757A">
      <w:pPr>
        <w:spacing w:line="480" w:lineRule="auto"/>
        <w:rPr>
          <w:rFonts w:eastAsiaTheme="minorEastAsia" w:cs="Times New Roman"/>
        </w:rPr>
      </w:pPr>
      <w:proofErr w:type="gramStart"/>
      <w:r>
        <w:rPr>
          <w:rFonts w:eastAsiaTheme="minorEastAsia" w:cs="Times New Roman"/>
        </w:rPr>
        <w:t>which</w:t>
      </w:r>
      <w:proofErr w:type="gramEnd"/>
      <w:r>
        <w:rPr>
          <w:rFonts w:eastAsiaTheme="minorEastAsia" w:cs="Times New Roman"/>
        </w:rPr>
        <w:t xml:space="preserve"> is negative if </w:t>
      </w:r>
      <m:oMath>
        <m:sSub>
          <m:sSubPr>
            <m:ctrlPr>
              <w:rPr>
                <w:rFonts w:ascii="Cambria Math" w:hAnsi="Cambria Math"/>
                <w:i/>
              </w:rPr>
            </m:ctrlPr>
          </m:sSubPr>
          <m:e>
            <m:r>
              <w:rPr>
                <w:rFonts w:ascii="Cambria Math" w:hAnsi="Cambria Math"/>
              </w:rPr>
              <m:t>ρ</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&gt;</m:t>
        </m:r>
        <m:sSub>
          <m:sSubPr>
            <m:ctrlPr>
              <w:rPr>
                <w:rFonts w:ascii="Cambria Math" w:hAnsi="Cambria Math"/>
                <w:i/>
              </w:rPr>
            </m:ctrlPr>
          </m:sSubPr>
          <m:e>
            <m:r>
              <w:rPr>
                <w:rFonts w:ascii="Cambria Math" w:hAnsi="Cambria Math"/>
              </w:rPr>
              <m:t>ρ</m:t>
            </m:r>
          </m:e>
          <m:sub>
            <m:r>
              <w:rPr>
                <w:rFonts w:ascii="Cambria Math" w:hAnsi="Cambria Math"/>
              </w:rPr>
              <m:t>22</m:t>
            </m:r>
          </m:sub>
        </m:sSub>
      </m:oMath>
      <w:r>
        <w:rPr>
          <w:rFonts w:eastAsiaTheme="minorEastAsia" w:cs="Times New Roman"/>
        </w:rPr>
        <w:t>.</w:t>
      </w:r>
    </w:p>
    <w:p w:rsidR="006079EF" w:rsidRDefault="006079EF" w:rsidP="0050757A">
      <w:pPr>
        <w:spacing w:line="480" w:lineRule="auto"/>
        <w:rPr>
          <w:rFonts w:eastAsiaTheme="minorEastAsia" w:cs="Times New Roman"/>
        </w:rPr>
      </w:pPr>
      <w:r>
        <w:rPr>
          <w:rFonts w:eastAsiaTheme="minorEastAsia" w:cs="Times New Roman"/>
        </w:rPr>
        <w:tab/>
        <w:t>While we are unable to separately estimate all of the parameters discussed in this section, we can estimate the change in the overall retention rate</w:t>
      </w:r>
      <w:proofErr w:type="gramStart"/>
      <w:r>
        <w:rPr>
          <w:rFonts w:eastAsiaTheme="minorEastAsia" w:cs="Times New Roman"/>
        </w:rPr>
        <w:t xml:space="preserve">, </w:t>
      </w:r>
      <w:proofErr w:type="gramEnd"/>
      <m:oMath>
        <m:r>
          <w:rPr>
            <w:rFonts w:ascii="Cambria Math" w:hAnsi="Cambria Math" w:cs="Times New Roman"/>
          </w:rPr>
          <m:t>∆</m:t>
        </m:r>
        <m:r>
          <w:rPr>
            <w:rFonts w:ascii="Cambria Math" w:hAnsi="Cambria Math"/>
          </w:rPr>
          <m:t>ρ</m:t>
        </m:r>
      </m:oMath>
      <w:r w:rsidR="005046C9">
        <w:rPr>
          <w:rFonts w:eastAsiaTheme="minorEastAsia" w:cs="Times New Roman"/>
        </w:rPr>
        <w:t xml:space="preserve">. </w:t>
      </w:r>
      <w:r w:rsidR="00A6152A">
        <w:rPr>
          <w:rFonts w:eastAsiaTheme="minorEastAsia" w:cs="Times New Roman"/>
        </w:rPr>
        <w:t>We suspect that a</w:t>
      </w:r>
      <w:r>
        <w:rPr>
          <w:rFonts w:eastAsiaTheme="minorEastAsia" w:cs="Times New Roman"/>
        </w:rPr>
        <w:t xml:space="preserve"> decrease in the overall retention rate would</w:t>
      </w:r>
      <w:r w:rsidR="0002238D">
        <w:rPr>
          <w:rFonts w:eastAsiaTheme="minorEastAsia" w:cs="Times New Roman"/>
        </w:rPr>
        <w:t xml:space="preserve"> most</w:t>
      </w:r>
      <w:r w:rsidR="00A6152A">
        <w:rPr>
          <w:rFonts w:eastAsiaTheme="minorEastAsia" w:cs="Times New Roman"/>
        </w:rPr>
        <w:t xml:space="preserve"> likely</w:t>
      </w:r>
      <w:r>
        <w:rPr>
          <w:rFonts w:eastAsiaTheme="minorEastAsia" w:cs="Times New Roman"/>
        </w:rPr>
        <w:t xml:space="preserve"> be driven </w:t>
      </w:r>
      <w:r w:rsidR="00A319AF">
        <w:rPr>
          <w:rFonts w:eastAsiaTheme="minorEastAsia" w:cs="Times New Roman"/>
        </w:rPr>
        <w:t xml:space="preserve">primarily </w:t>
      </w:r>
      <w:r>
        <w:rPr>
          <w:rFonts w:eastAsiaTheme="minorEastAsia" w:cs="Times New Roman"/>
        </w:rPr>
        <w:t>by students who would have gone to college out of state but enroll in the USG because of HOPE</w:t>
      </w:r>
      <w:r w:rsidR="005046C9">
        <w:rPr>
          <w:rFonts w:eastAsiaTheme="minorEastAsia" w:cs="Times New Roman"/>
        </w:rPr>
        <w:t xml:space="preserve">. </w:t>
      </w:r>
      <w:r w:rsidR="00CC2CF8">
        <w:rPr>
          <w:rFonts w:eastAsiaTheme="minorEastAsia" w:cs="Times New Roman"/>
        </w:rPr>
        <w:t xml:space="preserve">In other words, a decrease in </w:t>
      </w:r>
      <w:r w:rsidR="0002238D">
        <w:rPr>
          <w:rFonts w:eastAsiaTheme="minorEastAsia" w:cs="Times New Roman"/>
        </w:rPr>
        <w:t xml:space="preserve">the overall retention rate </w:t>
      </w:r>
      <w:r w:rsidR="00B073C9">
        <w:rPr>
          <w:rFonts w:eastAsiaTheme="minorEastAsia" w:cs="Times New Roman"/>
        </w:rPr>
        <w:t xml:space="preserve">because of HOPE </w:t>
      </w:r>
      <w:r w:rsidR="0002238D">
        <w:rPr>
          <w:rFonts w:eastAsiaTheme="minorEastAsia" w:cs="Times New Roman"/>
        </w:rPr>
        <w:t>likely suggests that this particular group of HOPE stayers is considerably less likely to remain in the state after college than students who would have enrolled in the USG regardless of HOPE</w:t>
      </w:r>
      <w:r w:rsidR="005046C9">
        <w:rPr>
          <w:rFonts w:eastAsiaTheme="minorEastAsia" w:cs="Times New Roman"/>
        </w:rPr>
        <w:t xml:space="preserve">. </w:t>
      </w:r>
      <w:r w:rsidR="0002238D">
        <w:rPr>
          <w:rFonts w:eastAsiaTheme="minorEastAsia" w:cs="Times New Roman"/>
        </w:rPr>
        <w:t xml:space="preserve">Because this group of HOPE stayers represents two-thirds of the increased enrollment due to HOPE, low </w:t>
      </w:r>
      <w:r w:rsidR="00363AD4">
        <w:rPr>
          <w:rFonts w:eastAsiaTheme="minorEastAsia" w:cs="Times New Roman"/>
        </w:rPr>
        <w:t>post-college</w:t>
      </w:r>
      <w:r w:rsidR="0002238D">
        <w:rPr>
          <w:rFonts w:eastAsiaTheme="minorEastAsia" w:cs="Times New Roman"/>
        </w:rPr>
        <w:t xml:space="preserve"> retention for this group raises important questions about the overall success of HOPE in building an educated workforce for Georgia</w:t>
      </w:r>
      <w:r w:rsidR="005046C9">
        <w:rPr>
          <w:rFonts w:eastAsiaTheme="minorEastAsia" w:cs="Times New Roman"/>
        </w:rPr>
        <w:t xml:space="preserve">. </w:t>
      </w:r>
      <w:r w:rsidR="0002238D">
        <w:rPr>
          <w:rFonts w:eastAsiaTheme="minorEastAsia" w:cs="Times New Roman"/>
        </w:rPr>
        <w:t>If these students are very likely to leave the state after college</w:t>
      </w:r>
      <w:r w:rsidR="00A6152A">
        <w:rPr>
          <w:rFonts w:eastAsiaTheme="minorEastAsia" w:cs="Times New Roman"/>
        </w:rPr>
        <w:t xml:space="preserve"> and cause the overall retention rate to decrease</w:t>
      </w:r>
      <w:r w:rsidR="0002238D">
        <w:rPr>
          <w:rFonts w:eastAsiaTheme="minorEastAsia" w:cs="Times New Roman"/>
        </w:rPr>
        <w:t>, the goal of building an educated workforce might be better achieved by making college more affordable for students who are likely to stay in the state after college.</w:t>
      </w:r>
    </w:p>
    <w:p w:rsidR="007D1941" w:rsidRDefault="007D1941" w:rsidP="00FC7A9C">
      <w:pPr>
        <w:spacing w:line="480" w:lineRule="auto"/>
        <w:rPr>
          <w:rFonts w:eastAsiaTheme="minorEastAsia" w:cs="Times New Roman"/>
        </w:rPr>
      </w:pPr>
      <w:r>
        <w:rPr>
          <w:rFonts w:eastAsiaTheme="minorEastAsia" w:cs="Times New Roman"/>
        </w:rPr>
        <w:tab/>
        <w:t xml:space="preserve">The </w:t>
      </w:r>
      <w:r w:rsidR="004D0A2C">
        <w:rPr>
          <w:rFonts w:eastAsiaTheme="minorEastAsia" w:cs="Times New Roman"/>
        </w:rPr>
        <w:t xml:space="preserve">accounting </w:t>
      </w:r>
      <w:r w:rsidR="00FD34A3">
        <w:rPr>
          <w:rFonts w:eastAsiaTheme="minorEastAsia" w:cs="Times New Roman"/>
        </w:rPr>
        <w:t xml:space="preserve">differs </w:t>
      </w:r>
      <w:r w:rsidR="00C84409">
        <w:rPr>
          <w:rFonts w:eastAsiaTheme="minorEastAsia" w:cs="Times New Roman"/>
        </w:rPr>
        <w:t>for</w:t>
      </w:r>
      <w:r w:rsidR="004D0A2C">
        <w:rPr>
          <w:rFonts w:eastAsiaTheme="minorEastAsia" w:cs="Times New Roman"/>
        </w:rPr>
        <w:t xml:space="preserve"> the </w:t>
      </w:r>
      <w:r w:rsidR="00A2194F">
        <w:rPr>
          <w:rFonts w:eastAsiaTheme="minorEastAsia" w:cs="Times New Roman"/>
        </w:rPr>
        <w:t>Hickman-approach because a</w:t>
      </w:r>
      <w:r w:rsidR="00C84409">
        <w:rPr>
          <w:rFonts w:eastAsiaTheme="minorEastAsia" w:cs="Times New Roman"/>
        </w:rPr>
        <w:t>ll college attendee</w:t>
      </w:r>
      <w:r w:rsidR="00FC7A9C">
        <w:rPr>
          <w:rFonts w:eastAsiaTheme="minorEastAsia" w:cs="Times New Roman"/>
        </w:rPr>
        <w:t>s are included in the PUMS anal</w:t>
      </w:r>
      <w:r w:rsidR="00C84409">
        <w:rPr>
          <w:rFonts w:eastAsiaTheme="minorEastAsia" w:cs="Times New Roman"/>
        </w:rPr>
        <w:t>ysis regardless of where they attended college.</w:t>
      </w:r>
      <w:r w:rsidR="00567F46">
        <w:rPr>
          <w:rFonts w:eastAsiaTheme="minorEastAsia" w:cs="Times New Roman"/>
        </w:rPr>
        <w:t xml:space="preserve"> </w:t>
      </w:r>
      <w:r w:rsidR="00FD34A3">
        <w:rPr>
          <w:rFonts w:eastAsiaTheme="minorEastAsia" w:cs="Times New Roman"/>
        </w:rPr>
        <w:t>However,</w:t>
      </w:r>
      <w:r w:rsidR="00A2194F">
        <w:rPr>
          <w:rFonts w:eastAsiaTheme="minorEastAsia" w:cs="Times New Roman"/>
        </w:rPr>
        <w:t xml:space="preserve"> HOPE could</w:t>
      </w:r>
      <w:r w:rsidR="00AB36E2">
        <w:rPr>
          <w:rFonts w:eastAsiaTheme="minorEastAsia" w:cs="Times New Roman"/>
        </w:rPr>
        <w:t xml:space="preserve"> still</w:t>
      </w:r>
      <w:r w:rsidR="00A2194F">
        <w:rPr>
          <w:rFonts w:eastAsiaTheme="minorEastAsia" w:cs="Times New Roman"/>
        </w:rPr>
        <w:t xml:space="preserve"> alter</w:t>
      </w:r>
      <w:r w:rsidR="00FD34A3">
        <w:rPr>
          <w:rFonts w:eastAsiaTheme="minorEastAsia" w:cs="Times New Roman"/>
        </w:rPr>
        <w:t xml:space="preserve"> the composition of the sample if </w:t>
      </w:r>
      <w:r w:rsidR="00A2194F">
        <w:rPr>
          <w:rFonts w:eastAsiaTheme="minorEastAsia" w:cs="Times New Roman"/>
        </w:rPr>
        <w:t xml:space="preserve">it </w:t>
      </w:r>
      <w:r w:rsidR="00FD34A3">
        <w:rPr>
          <w:rFonts w:eastAsiaTheme="minorEastAsia" w:cs="Times New Roman"/>
        </w:rPr>
        <w:t>affected whether individuals attend</w:t>
      </w:r>
      <w:r w:rsidR="00AB36E2">
        <w:rPr>
          <w:rFonts w:eastAsiaTheme="minorEastAsia" w:cs="Times New Roman"/>
        </w:rPr>
        <w:t>ed</w:t>
      </w:r>
      <w:r w:rsidR="00FD34A3">
        <w:rPr>
          <w:rFonts w:eastAsiaTheme="minorEastAsia" w:cs="Times New Roman"/>
        </w:rPr>
        <w:t xml:space="preserve"> college </w:t>
      </w:r>
      <w:r w:rsidR="00D27126">
        <w:rPr>
          <w:rFonts w:eastAsiaTheme="minorEastAsia" w:cs="Times New Roman"/>
        </w:rPr>
        <w:t>anywhere</w:t>
      </w:r>
      <w:r w:rsidR="00FD34A3">
        <w:rPr>
          <w:rFonts w:eastAsiaTheme="minorEastAsia" w:cs="Times New Roman"/>
        </w:rPr>
        <w:t>.</w:t>
      </w:r>
      <w:r w:rsidR="00567F46">
        <w:rPr>
          <w:rFonts w:eastAsiaTheme="minorEastAsia" w:cs="Times New Roman"/>
        </w:rPr>
        <w:t xml:space="preserve"> </w:t>
      </w:r>
      <w:r w:rsidR="00FD34A3">
        <w:rPr>
          <w:rFonts w:eastAsiaTheme="minorEastAsia" w:cs="Times New Roman"/>
        </w:rPr>
        <w:t xml:space="preserve">The definitions for the three groups are now based on whether HOPE affected their </w:t>
      </w:r>
      <w:r w:rsidR="00FD34A3">
        <w:rPr>
          <w:rFonts w:eastAsiaTheme="minorEastAsia" w:cs="Times New Roman"/>
        </w:rPr>
        <w:lastRenderedPageBreak/>
        <w:t>decision to attend college and not whether HOPE affected where they attend college.</w:t>
      </w:r>
      <w:r w:rsidR="00567F46">
        <w:rPr>
          <w:rFonts w:eastAsiaTheme="minorEastAsia" w:cs="Times New Roman"/>
        </w:rPr>
        <w:t xml:space="preserve"> </w:t>
      </w:r>
      <w:r w:rsidR="00FD34A3">
        <w:rPr>
          <w:rFonts w:eastAsiaTheme="minorEastAsia" w:cs="Times New Roman"/>
        </w:rPr>
        <w:t>The first group includes persons who would have attended college (somewhere) regardless of HOPE, the second group includes persons who attend college because of HOPE but would not have attended college without HOPE, and the third group consists of people who would have attended college without HOPE but decide not to because of HOPE.</w:t>
      </w:r>
      <w:r w:rsidR="00567F46">
        <w:rPr>
          <w:rFonts w:eastAsiaTheme="minorEastAsia" w:cs="Times New Roman"/>
        </w:rPr>
        <w:t xml:space="preserve"> </w:t>
      </w:r>
      <w:r w:rsidR="00FD34A3">
        <w:rPr>
          <w:rFonts w:eastAsiaTheme="minorEastAsia" w:cs="Times New Roman"/>
        </w:rPr>
        <w:t xml:space="preserve">The third </w:t>
      </w:r>
      <w:r w:rsidR="00294AD7">
        <w:rPr>
          <w:rFonts w:eastAsiaTheme="minorEastAsia" w:cs="Times New Roman"/>
        </w:rPr>
        <w:t>group is likely to be very small</w:t>
      </w:r>
      <w:r w:rsidR="00E325A9">
        <w:rPr>
          <w:rFonts w:eastAsiaTheme="minorEastAsia" w:cs="Times New Roman"/>
        </w:rPr>
        <w:t>.</w:t>
      </w:r>
      <w:r w:rsidR="00567F46">
        <w:rPr>
          <w:rFonts w:eastAsiaTheme="minorEastAsia" w:cs="Times New Roman"/>
        </w:rPr>
        <w:t xml:space="preserve"> </w:t>
      </w:r>
      <w:r w:rsidR="00E325A9">
        <w:rPr>
          <w:rFonts w:eastAsiaTheme="minorEastAsia" w:cs="Times New Roman"/>
        </w:rPr>
        <w:t>If the third group is empty and we define retention rates similarly as above for the PUMS analysis</w:t>
      </w:r>
      <w:r w:rsidR="00575C0B">
        <w:rPr>
          <w:rFonts w:eastAsiaTheme="minorEastAsia" w:cs="Times New Roman"/>
        </w:rPr>
        <w:t>,</w:t>
      </w:r>
      <w:r w:rsidR="00E325A9">
        <w:rPr>
          <w:rFonts w:eastAsiaTheme="minorEastAsia" w:cs="Times New Roman"/>
        </w:rPr>
        <w:t xml:space="preserve"> the change in the overall retention rate (equation 5) will depend on the size of group 2</w:t>
      </w:r>
      <w:r w:rsidR="00575C0B">
        <w:rPr>
          <w:rFonts w:eastAsiaTheme="minorEastAsia" w:cs="Times New Roman"/>
        </w:rPr>
        <w:t>,</w:t>
      </w:r>
      <w:r w:rsidR="00E325A9">
        <w:rPr>
          <w:rFonts w:eastAsiaTheme="minorEastAsia" w:cs="Times New Roman"/>
        </w:rPr>
        <w:t xml:space="preserve"> how the retention rate of group 2 compares to the retention rate of group 1</w:t>
      </w:r>
      <w:r w:rsidR="00575C0B">
        <w:rPr>
          <w:rFonts w:eastAsiaTheme="minorEastAsia" w:cs="Times New Roman"/>
        </w:rPr>
        <w:t>,</w:t>
      </w:r>
      <w:r w:rsidR="00E325A9">
        <w:rPr>
          <w:rFonts w:eastAsiaTheme="minorEastAsia" w:cs="Times New Roman"/>
        </w:rPr>
        <w:t xml:space="preserve"> and how the retention rate of group 1 is affected by HOPE.</w:t>
      </w:r>
      <w:r w:rsidR="00567F46">
        <w:rPr>
          <w:rFonts w:eastAsiaTheme="minorEastAsia" w:cs="Times New Roman"/>
        </w:rPr>
        <w:t xml:space="preserve"> </w:t>
      </w:r>
      <w:r w:rsidR="00E325A9">
        <w:rPr>
          <w:rFonts w:eastAsiaTheme="minorEastAsia" w:cs="Times New Roman"/>
        </w:rPr>
        <w:t>Marginal college attendees are likely to be lower quality students and less mobile than persons who would have gone to college with or without HOPE</w:t>
      </w:r>
      <w:r w:rsidR="00B878E4">
        <w:rPr>
          <w:rFonts w:eastAsiaTheme="minorEastAsia" w:cs="Times New Roman"/>
        </w:rPr>
        <w:t xml:space="preserve"> so we expect </w:t>
      </w:r>
      <w:proofErr w:type="gramStart"/>
      <w:r w:rsidR="00B878E4">
        <w:rPr>
          <w:rFonts w:eastAsiaTheme="minorEastAsia" w:cs="Times New Roman"/>
        </w:rPr>
        <w:t xml:space="preserve">that </w:t>
      </w:r>
      <w:proofErr w:type="gramEnd"/>
      <m:oMath>
        <m:sSub>
          <m:sSubPr>
            <m:ctrlPr>
              <w:rPr>
                <w:rFonts w:ascii="Cambria Math" w:hAnsi="Cambria Math"/>
                <w:i/>
              </w:rPr>
            </m:ctrlPr>
          </m:sSubPr>
          <m:e>
            <m:r>
              <w:rPr>
                <w:rFonts w:ascii="Cambria Math" w:hAnsi="Cambria Math"/>
              </w:rPr>
              <m:t>ρ</m:t>
            </m:r>
          </m:e>
          <m:sub>
            <m:r>
              <w:rPr>
                <w:rFonts w:ascii="Cambria Math" w:hAnsi="Cambria Math"/>
              </w:rPr>
              <m:t>22</m:t>
            </m:r>
          </m:sub>
        </m:sSub>
        <m:r>
          <w:rPr>
            <w:rFonts w:ascii="Cambria Math" w:hAnsi="Cambria Math"/>
          </w:rPr>
          <m:t>&gt;</m:t>
        </m:r>
        <m:sSub>
          <m:sSubPr>
            <m:ctrlPr>
              <w:rPr>
                <w:rFonts w:ascii="Cambria Math" w:hAnsi="Cambria Math"/>
                <w:i/>
              </w:rPr>
            </m:ctrlPr>
          </m:sSubPr>
          <m:e>
            <m:r>
              <w:rPr>
                <w:rFonts w:ascii="Cambria Math" w:hAnsi="Cambria Math"/>
              </w:rPr>
              <m:t>ρ</m:t>
            </m:r>
          </m:e>
          <m:sub>
            <m:r>
              <w:rPr>
                <w:rFonts w:ascii="Cambria Math" w:hAnsi="Cambria Math"/>
              </w:rPr>
              <m:t>12</m:t>
            </m:r>
          </m:sub>
        </m:sSub>
      </m:oMath>
      <w:r w:rsidR="00E325A9">
        <w:rPr>
          <w:rFonts w:eastAsiaTheme="minorEastAsia" w:cs="Times New Roman"/>
        </w:rPr>
        <w:t>.</w:t>
      </w:r>
      <w:r w:rsidR="00567F46">
        <w:rPr>
          <w:rFonts w:eastAsiaTheme="minorEastAsia" w:cs="Times New Roman"/>
        </w:rPr>
        <w:t xml:space="preserve"> </w:t>
      </w:r>
      <w:r w:rsidR="00B878E4">
        <w:rPr>
          <w:rFonts w:eastAsiaTheme="minorEastAsia" w:cs="Times New Roman"/>
        </w:rPr>
        <w:t xml:space="preserve">HOPE encouraged many of the students in group 1 to go to college in Georgia and if this increases their attachment to the state we might </w:t>
      </w:r>
      <w:proofErr w:type="gramStart"/>
      <w:r w:rsidR="00B878E4">
        <w:rPr>
          <w:rFonts w:eastAsiaTheme="minorEastAsia" w:cs="Times New Roman"/>
        </w:rPr>
        <w:t xml:space="preserve">expect </w:t>
      </w:r>
      <w:proofErr w:type="gramEnd"/>
      <m:oMath>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11</m:t>
            </m:r>
          </m:sub>
        </m:sSub>
      </m:oMath>
      <w:r w:rsidR="00B878E4">
        <w:rPr>
          <w:rFonts w:eastAsiaTheme="minorEastAsia" w:cs="Times New Roman"/>
        </w:rPr>
        <w:t>.</w:t>
      </w:r>
      <w:r w:rsidR="00567F46">
        <w:rPr>
          <w:rFonts w:eastAsiaTheme="minorEastAsia" w:cs="Times New Roman"/>
        </w:rPr>
        <w:t xml:space="preserve"> </w:t>
      </w:r>
      <w:proofErr w:type="gramStart"/>
      <w:r w:rsidR="00B878E4">
        <w:rPr>
          <w:rFonts w:eastAsiaTheme="minorEastAsia" w:cs="Times New Roman"/>
        </w:rPr>
        <w:t>I</w:t>
      </w:r>
      <w:r w:rsidR="00E325A9">
        <w:rPr>
          <w:rFonts w:eastAsiaTheme="minorEastAsia" w:cs="Times New Roman"/>
        </w:rPr>
        <w:t xml:space="preserve">f </w:t>
      </w:r>
      <w:proofErr w:type="gramEnd"/>
      <m:oMath>
        <m:sSub>
          <m:sSubPr>
            <m:ctrlPr>
              <w:rPr>
                <w:rFonts w:ascii="Cambria Math" w:hAnsi="Cambria Math"/>
                <w:i/>
              </w:rPr>
            </m:ctrlPr>
          </m:sSubPr>
          <m:e>
            <m:r>
              <w:rPr>
                <w:rFonts w:ascii="Cambria Math" w:hAnsi="Cambria Math"/>
              </w:rPr>
              <m:t>ρ</m:t>
            </m:r>
          </m:e>
          <m:sub>
            <m:r>
              <w:rPr>
                <w:rFonts w:ascii="Cambria Math" w:hAnsi="Cambria Math"/>
              </w:rPr>
              <m:t>22</m:t>
            </m:r>
          </m:sub>
        </m:sSub>
        <m:r>
          <w:rPr>
            <w:rFonts w:ascii="Cambria Math" w:hAnsi="Cambria Math"/>
          </w:rPr>
          <m:t>&gt;</m:t>
        </m:r>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11</m:t>
            </m:r>
          </m:sub>
        </m:sSub>
      </m:oMath>
      <w:r w:rsidR="00E325A9">
        <w:rPr>
          <w:rFonts w:eastAsiaTheme="minorEastAsia" w:cs="Times New Roman"/>
        </w:rPr>
        <w:t xml:space="preserve">, then </w:t>
      </w:r>
      <m:oMath>
        <m:r>
          <w:rPr>
            <w:rFonts w:ascii="Cambria Math" w:hAnsi="Cambria Math" w:cs="Times New Roman"/>
          </w:rPr>
          <m:t>∆</m:t>
        </m:r>
        <m:r>
          <w:rPr>
            <w:rFonts w:ascii="Cambria Math" w:hAnsi="Cambria Math"/>
          </w:rPr>
          <m:t>ρ</m:t>
        </m:r>
      </m:oMath>
      <w:r w:rsidR="00E325A9">
        <w:rPr>
          <w:rFonts w:eastAsiaTheme="minorEastAsia" w:cs="Times New Roman"/>
        </w:rPr>
        <w:t xml:space="preserve"> will be positive for the PUMS analysis.</w:t>
      </w:r>
      <w:r w:rsidR="00567F46">
        <w:rPr>
          <w:rFonts w:eastAsiaTheme="minorEastAsia" w:cs="Times New Roman"/>
        </w:rPr>
        <w:t xml:space="preserve"> </w:t>
      </w:r>
      <w:r w:rsidR="00B878E4">
        <w:rPr>
          <w:rFonts w:eastAsiaTheme="minorEastAsia" w:cs="Times New Roman"/>
        </w:rPr>
        <w:t>However, if group 2 is empty (</w:t>
      </w:r>
      <m:oMath>
        <m:sSub>
          <m:sSubPr>
            <m:ctrlPr>
              <w:rPr>
                <w:rFonts w:ascii="Cambria Math" w:hAnsi="Cambria Math"/>
                <w:i/>
              </w:rPr>
            </m:ctrlPr>
          </m:sSubPr>
          <m:e>
            <m:r>
              <w:rPr>
                <w:rFonts w:ascii="Cambria Math" w:hAnsi="Cambria Math"/>
              </w:rPr>
              <m:t>θ</m:t>
            </m:r>
          </m:e>
          <m:sub>
            <m:r>
              <w:rPr>
                <w:rFonts w:ascii="Cambria Math" w:hAnsi="Cambria Math"/>
              </w:rPr>
              <m:t>22</m:t>
            </m:r>
          </m:sub>
        </m:sSub>
        <m:r>
          <w:rPr>
            <w:rFonts w:ascii="Cambria Math" w:hAnsi="Cambria Math"/>
          </w:rPr>
          <m:t>=0)</m:t>
        </m:r>
      </m:oMath>
      <w:r w:rsidR="00B878E4">
        <w:rPr>
          <w:rFonts w:eastAsiaTheme="minorEastAsia" w:cs="Times New Roman"/>
        </w:rPr>
        <w:t xml:space="preserve"> and </w:t>
      </w:r>
      <m:oMath>
        <m:sSub>
          <m:sSubPr>
            <m:ctrlPr>
              <w:rPr>
                <w:rFonts w:ascii="Cambria Math" w:hAnsi="Cambria Math"/>
                <w:i/>
              </w:rPr>
            </m:ctrlPr>
          </m:sSubPr>
          <m:e>
            <m:r>
              <w:rPr>
                <w:rFonts w:ascii="Cambria Math" w:hAnsi="Cambria Math"/>
              </w:rPr>
              <m:t>ρ</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11</m:t>
            </m:r>
          </m:sub>
        </m:sSub>
      </m:oMath>
      <w:r w:rsidR="003B001E">
        <w:rPr>
          <w:rFonts w:eastAsiaTheme="minorEastAsia" w:cs="Times New Roman"/>
        </w:rPr>
        <w:t>,</w:t>
      </w:r>
      <w:r w:rsidR="00B878E4">
        <w:rPr>
          <w:rFonts w:eastAsiaTheme="minorEastAsia" w:cs="Times New Roman"/>
        </w:rPr>
        <w:t xml:space="preserve"> then </w:t>
      </w:r>
      <m:oMath>
        <m:r>
          <w:rPr>
            <w:rFonts w:ascii="Cambria Math" w:hAnsi="Cambria Math" w:cs="Times New Roman"/>
          </w:rPr>
          <m:t>∆</m:t>
        </m:r>
        <m:r>
          <w:rPr>
            <w:rFonts w:ascii="Cambria Math" w:hAnsi="Cambria Math"/>
          </w:rPr>
          <m:t>ρ=0</m:t>
        </m:r>
      </m:oMath>
      <w:r w:rsidR="003B001E">
        <w:rPr>
          <w:rFonts w:eastAsiaTheme="minorEastAsia" w:cs="Times New Roman"/>
        </w:rPr>
        <w:t xml:space="preserve">; in other words, </w:t>
      </w:r>
      <w:r w:rsidR="00FC7A9C">
        <w:rPr>
          <w:rFonts w:eastAsiaTheme="minorEastAsia" w:cs="Times New Roman"/>
        </w:rPr>
        <w:t>if HOPE does not affect whether individuals attend college and does not affect the retention rate of college attendees, there will be no change in the overall retention rate</w:t>
      </w:r>
      <w:r w:rsidR="006E2A7F">
        <w:rPr>
          <w:rFonts w:eastAsiaTheme="minorEastAsia" w:cs="Times New Roman"/>
        </w:rPr>
        <w:t xml:space="preserve"> in the PUMS analysis</w:t>
      </w:r>
      <w:r w:rsidR="00FC7A9C">
        <w:rPr>
          <w:rFonts w:eastAsiaTheme="minorEastAsia" w:cs="Times New Roman"/>
        </w:rPr>
        <w:t>.</w:t>
      </w:r>
      <w:r>
        <w:rPr>
          <w:rFonts w:eastAsiaTheme="minorEastAsia" w:cs="Times New Roman"/>
        </w:rPr>
        <w:t xml:space="preserve"> </w:t>
      </w:r>
    </w:p>
    <w:p w:rsidR="006A4DDB" w:rsidRDefault="006A4DDB" w:rsidP="006A24EF">
      <w:pPr>
        <w:spacing w:line="276" w:lineRule="auto"/>
        <w:contextualSpacing w:val="0"/>
        <w:rPr>
          <w:rFonts w:cs="Times New Roman"/>
        </w:rPr>
      </w:pPr>
    </w:p>
    <w:p w:rsidR="00427A9F" w:rsidRPr="0083682E" w:rsidRDefault="0083682E" w:rsidP="0083682E">
      <w:pPr>
        <w:spacing w:line="480" w:lineRule="auto"/>
        <w:rPr>
          <w:rFonts w:cs="Times New Roman"/>
          <w:b/>
        </w:rPr>
      </w:pPr>
      <w:r>
        <w:rPr>
          <w:rFonts w:cs="Times New Roman"/>
          <w:b/>
        </w:rPr>
        <w:t xml:space="preserve">IV. </w:t>
      </w:r>
      <w:r w:rsidR="009462A5" w:rsidRPr="0083682E">
        <w:rPr>
          <w:rFonts w:cs="Times New Roman"/>
          <w:b/>
        </w:rPr>
        <w:t>USG</w:t>
      </w:r>
      <w:r w:rsidR="00945746" w:rsidRPr="0083682E">
        <w:rPr>
          <w:rFonts w:cs="Times New Roman"/>
          <w:b/>
        </w:rPr>
        <w:t xml:space="preserve"> </w:t>
      </w:r>
      <w:r w:rsidR="00427A9F" w:rsidRPr="0083682E">
        <w:rPr>
          <w:rFonts w:cs="Times New Roman"/>
          <w:b/>
        </w:rPr>
        <w:t>Data</w:t>
      </w:r>
    </w:p>
    <w:p w:rsidR="00DF3BCE" w:rsidRDefault="00DE5A7D">
      <w:pPr>
        <w:spacing w:after="0" w:line="480" w:lineRule="auto"/>
        <w:ind w:firstLine="720"/>
        <w:rPr>
          <w:rFonts w:cs="Times New Roman"/>
        </w:rPr>
      </w:pPr>
      <w:r>
        <w:rPr>
          <w:rFonts w:cs="Times New Roman"/>
        </w:rPr>
        <w:t xml:space="preserve">This section discusses the construction of the </w:t>
      </w:r>
      <w:r w:rsidR="00582FA6">
        <w:rPr>
          <w:rFonts w:cs="Times New Roman"/>
        </w:rPr>
        <w:t>University System of Georgia (</w:t>
      </w:r>
      <w:r>
        <w:rPr>
          <w:rFonts w:cs="Times New Roman"/>
        </w:rPr>
        <w:t>USG</w:t>
      </w:r>
      <w:r w:rsidR="00582FA6">
        <w:rPr>
          <w:rFonts w:cs="Times New Roman"/>
        </w:rPr>
        <w:t>)</w:t>
      </w:r>
      <w:r>
        <w:rPr>
          <w:rFonts w:cs="Times New Roman"/>
        </w:rPr>
        <w:t xml:space="preserve"> Sample that we use to examine differences in retention in Georgia for students in the USG before and after HOPE</w:t>
      </w:r>
      <w:r w:rsidR="005046C9">
        <w:rPr>
          <w:rFonts w:cs="Times New Roman"/>
        </w:rPr>
        <w:t xml:space="preserve">. </w:t>
      </w:r>
      <w:r w:rsidR="005A5C9B">
        <w:rPr>
          <w:rFonts w:cs="Times New Roman"/>
        </w:rPr>
        <w:t xml:space="preserve">The USG is a statewide system of </w:t>
      </w:r>
      <w:r w:rsidR="00B073C9">
        <w:rPr>
          <w:rFonts w:cs="Times New Roman"/>
        </w:rPr>
        <w:t xml:space="preserve">all </w:t>
      </w:r>
      <w:r w:rsidR="005A5C9B">
        <w:rPr>
          <w:rFonts w:cs="Times New Roman"/>
        </w:rPr>
        <w:t>35 public higher education institutions including two- and four-year colleges and universities</w:t>
      </w:r>
      <w:r w:rsidR="00B073C9">
        <w:rPr>
          <w:rFonts w:cs="Times New Roman"/>
        </w:rPr>
        <w:t xml:space="preserve"> in Georgia</w:t>
      </w:r>
      <w:r w:rsidR="005046C9">
        <w:rPr>
          <w:rFonts w:cs="Times New Roman"/>
        </w:rPr>
        <w:t xml:space="preserve">. </w:t>
      </w:r>
      <w:r w:rsidR="005A5C9B">
        <w:rPr>
          <w:rFonts w:cs="Times New Roman"/>
        </w:rPr>
        <w:t xml:space="preserve">For </w:t>
      </w:r>
      <w:proofErr w:type="gramStart"/>
      <w:r w:rsidR="005A5C9B">
        <w:rPr>
          <w:rFonts w:cs="Times New Roman"/>
        </w:rPr>
        <w:t>Fall</w:t>
      </w:r>
      <w:proofErr w:type="gramEnd"/>
      <w:r w:rsidR="005A5C9B">
        <w:rPr>
          <w:rFonts w:cs="Times New Roman"/>
        </w:rPr>
        <w:t xml:space="preserve"> 1990 the USG </w:t>
      </w:r>
      <w:r w:rsidR="005A5C9B">
        <w:rPr>
          <w:rFonts w:cs="Times New Roman"/>
        </w:rPr>
        <w:lastRenderedPageBreak/>
        <w:t xml:space="preserve">accounted for 72 percent of </w:t>
      </w:r>
      <w:r w:rsidR="00F204A5">
        <w:rPr>
          <w:rFonts w:cs="Times New Roman"/>
        </w:rPr>
        <w:t>total</w:t>
      </w:r>
      <w:r w:rsidR="005A5C9B">
        <w:rPr>
          <w:rFonts w:cs="Times New Roman"/>
        </w:rPr>
        <w:t xml:space="preserve"> college enrollment in Georgia</w:t>
      </w:r>
      <w:r w:rsidR="00F204A5">
        <w:rPr>
          <w:rFonts w:cs="Times New Roman"/>
        </w:rPr>
        <w:t xml:space="preserve"> (NCES 1995)</w:t>
      </w:r>
      <w:r w:rsidR="005A5C9B">
        <w:rPr>
          <w:rFonts w:cs="Times New Roman"/>
        </w:rPr>
        <w:t>.</w:t>
      </w:r>
      <w:r w:rsidR="00F204A5">
        <w:rPr>
          <w:rStyle w:val="FootnoteReference"/>
          <w:rFonts w:cs="Times New Roman"/>
        </w:rPr>
        <w:footnoteReference w:id="16"/>
      </w:r>
      <w:r w:rsidR="00567F46">
        <w:rPr>
          <w:rFonts w:cs="Times New Roman"/>
        </w:rPr>
        <w:t xml:space="preserve"> </w:t>
      </w:r>
      <w:r w:rsidR="00070101">
        <w:rPr>
          <w:rFonts w:cs="Times New Roman"/>
        </w:rPr>
        <w:t>From t</w:t>
      </w:r>
      <w:r>
        <w:rPr>
          <w:rFonts w:cs="Times New Roman"/>
        </w:rPr>
        <w:t xml:space="preserve">he USG Board of Regents </w:t>
      </w:r>
      <w:r w:rsidR="00070101">
        <w:rPr>
          <w:rFonts w:cs="Times New Roman"/>
        </w:rPr>
        <w:t>we obtained</w:t>
      </w:r>
      <w:r>
        <w:rPr>
          <w:rFonts w:cs="Times New Roman"/>
        </w:rPr>
        <w:t xml:space="preserve"> data on four cohorts of entering students to the USG</w:t>
      </w:r>
      <w:r w:rsidR="005046C9">
        <w:rPr>
          <w:rFonts w:cs="Times New Roman"/>
        </w:rPr>
        <w:t xml:space="preserve">. </w:t>
      </w:r>
      <w:r>
        <w:rPr>
          <w:rFonts w:cs="Times New Roman"/>
        </w:rPr>
        <w:t xml:space="preserve">The four cohorts include all students who </w:t>
      </w:r>
      <w:r w:rsidR="00931F68">
        <w:rPr>
          <w:rFonts w:cs="Times New Roman"/>
        </w:rPr>
        <w:t xml:space="preserve">graduated from a Georgia high school during the years 1990, 1991, 1995 and 1996 and enrolled in the USG </w:t>
      </w:r>
      <w:r w:rsidR="001009FD">
        <w:rPr>
          <w:rFonts w:cs="Times New Roman"/>
        </w:rPr>
        <w:t>in</w:t>
      </w:r>
      <w:r w:rsidR="00931F68">
        <w:rPr>
          <w:rFonts w:cs="Times New Roman"/>
        </w:rPr>
        <w:t xml:space="preserve"> the same year (</w:t>
      </w:r>
      <w:r w:rsidR="000C6972">
        <w:rPr>
          <w:rFonts w:cs="Times New Roman"/>
        </w:rPr>
        <w:t>i</w:t>
      </w:r>
      <w:r w:rsidR="00582FA6">
        <w:rPr>
          <w:rFonts w:cs="Times New Roman"/>
        </w:rPr>
        <w:t>.e.,</w:t>
      </w:r>
      <w:r w:rsidR="00931F68">
        <w:rPr>
          <w:rFonts w:cs="Times New Roman"/>
        </w:rPr>
        <w:t xml:space="preserve"> students who enrolled in the summer or fall terms immediately after graduating high school)</w:t>
      </w:r>
      <w:r w:rsidR="005046C9">
        <w:rPr>
          <w:rFonts w:cs="Times New Roman"/>
        </w:rPr>
        <w:t xml:space="preserve">. </w:t>
      </w:r>
      <w:r w:rsidR="00B4433D">
        <w:rPr>
          <w:rFonts w:cs="Times New Roman"/>
        </w:rPr>
        <w:t>The 1995 and 1996 cohorts were chosen because these were the first students for which HOPE Scholarship eligibility was not subject to an income cap</w:t>
      </w:r>
      <w:r w:rsidR="005046C9">
        <w:rPr>
          <w:rFonts w:cs="Times New Roman"/>
        </w:rPr>
        <w:t xml:space="preserve">. </w:t>
      </w:r>
      <w:r w:rsidR="00B4433D">
        <w:rPr>
          <w:rFonts w:cs="Times New Roman"/>
        </w:rPr>
        <w:t xml:space="preserve">The 1992 cohort of students was avoided out of concern that some of these students </w:t>
      </w:r>
      <w:r w:rsidR="00F407DF">
        <w:rPr>
          <w:rFonts w:cs="Times New Roman"/>
        </w:rPr>
        <w:t xml:space="preserve">might have anticipated the passage of HOPE and </w:t>
      </w:r>
      <w:r w:rsidR="00F47857">
        <w:rPr>
          <w:rFonts w:cs="Times New Roman"/>
        </w:rPr>
        <w:t>alter</w:t>
      </w:r>
      <w:r w:rsidR="00F407DF">
        <w:rPr>
          <w:rFonts w:cs="Times New Roman"/>
        </w:rPr>
        <w:t>ed their behavior</w:t>
      </w:r>
      <w:r w:rsidR="00F47857">
        <w:rPr>
          <w:rFonts w:cs="Times New Roman"/>
        </w:rPr>
        <w:t xml:space="preserve"> in response</w:t>
      </w:r>
      <w:r w:rsidR="005046C9">
        <w:rPr>
          <w:rFonts w:cs="Times New Roman"/>
        </w:rPr>
        <w:t xml:space="preserve">. </w:t>
      </w:r>
      <w:r w:rsidR="00F407DF">
        <w:rPr>
          <w:rFonts w:cs="Times New Roman"/>
        </w:rPr>
        <w:t>The 1990-1991 cohorts are therefore the pre-HOPE control group and the 1995-1996 cohorts are the post-HOPE treatment group</w:t>
      </w:r>
      <w:r w:rsidR="005046C9">
        <w:rPr>
          <w:rFonts w:cs="Times New Roman"/>
        </w:rPr>
        <w:t xml:space="preserve">. </w:t>
      </w:r>
      <w:r w:rsidR="00C87603">
        <w:rPr>
          <w:rFonts w:cs="Times New Roman"/>
        </w:rPr>
        <w:t>The USG sample is also restricted to Georgia residents who graduated high school in Georgia because non-residents and graduates of schools outside of Georgia were not eligible for HOPE</w:t>
      </w:r>
      <w:r w:rsidR="005046C9">
        <w:rPr>
          <w:rFonts w:cs="Times New Roman"/>
        </w:rPr>
        <w:t xml:space="preserve">. </w:t>
      </w:r>
      <w:r w:rsidR="002D37E3">
        <w:rPr>
          <w:rFonts w:cs="Times New Roman"/>
        </w:rPr>
        <w:t>Our main USG sample includes all recent Georgia high school graduates</w:t>
      </w:r>
      <w:r w:rsidR="00F104F9">
        <w:rPr>
          <w:rFonts w:cs="Times New Roman"/>
        </w:rPr>
        <w:t xml:space="preserve"> who enroll in the USG</w:t>
      </w:r>
      <w:r w:rsidR="002D37E3">
        <w:rPr>
          <w:rFonts w:cs="Times New Roman"/>
        </w:rPr>
        <w:t xml:space="preserve"> regardless of whether they ever earn a degree from a USG institution, but we also separately consider the effects of HOPE on the retention of </w:t>
      </w:r>
      <w:r w:rsidR="00582FA6">
        <w:rPr>
          <w:rFonts w:cs="Times New Roman"/>
        </w:rPr>
        <w:t xml:space="preserve">just </w:t>
      </w:r>
      <w:r w:rsidR="002D37E3">
        <w:rPr>
          <w:rFonts w:cs="Times New Roman"/>
        </w:rPr>
        <w:t>college graduates.</w:t>
      </w:r>
    </w:p>
    <w:p w:rsidR="00DF3BCE" w:rsidRDefault="00F47857" w:rsidP="00883E37">
      <w:pPr>
        <w:spacing w:after="0" w:line="480" w:lineRule="auto"/>
        <w:rPr>
          <w:rFonts w:eastAsia="Calibri" w:cs="Times New Roman"/>
        </w:rPr>
      </w:pPr>
      <w:r>
        <w:rPr>
          <w:rFonts w:cs="Times New Roman"/>
        </w:rPr>
        <w:tab/>
        <w:t xml:space="preserve">We combine the USG data with data from the </w:t>
      </w:r>
      <w:r w:rsidRPr="00C971BD">
        <w:rPr>
          <w:rFonts w:eastAsia="Calibri" w:cs="Times New Roman"/>
        </w:rPr>
        <w:t>Georgia Student Finance Commission</w:t>
      </w:r>
      <w:r>
        <w:rPr>
          <w:rFonts w:eastAsia="Calibri" w:cs="Times New Roman"/>
        </w:rPr>
        <w:t xml:space="preserve"> (GSFC)</w:t>
      </w:r>
      <w:r w:rsidRPr="00C971BD">
        <w:rPr>
          <w:rFonts w:eastAsia="Calibri" w:cs="Times New Roman"/>
        </w:rPr>
        <w:t xml:space="preserve"> and the Georgia Department of Labor</w:t>
      </w:r>
      <w:r w:rsidR="006A2D26">
        <w:rPr>
          <w:rFonts w:eastAsia="Calibri" w:cs="Times New Roman"/>
        </w:rPr>
        <w:t xml:space="preserve"> (</w:t>
      </w:r>
      <w:proofErr w:type="spellStart"/>
      <w:r w:rsidR="006A2D26">
        <w:rPr>
          <w:rFonts w:eastAsia="Calibri" w:cs="Times New Roman"/>
        </w:rPr>
        <w:t>GDoL</w:t>
      </w:r>
      <w:proofErr w:type="spellEnd"/>
      <w:r w:rsidR="006A2D26">
        <w:rPr>
          <w:rFonts w:eastAsia="Calibri" w:cs="Times New Roman"/>
        </w:rPr>
        <w:t>) ES-202 records</w:t>
      </w:r>
      <w:r w:rsidR="005046C9">
        <w:rPr>
          <w:rFonts w:eastAsia="Calibri" w:cs="Times New Roman"/>
        </w:rPr>
        <w:t xml:space="preserve">. </w:t>
      </w:r>
      <w:r>
        <w:rPr>
          <w:rFonts w:eastAsia="Calibri" w:cs="Times New Roman"/>
        </w:rPr>
        <w:t>The GSFC data indicate which students in the post-HOPE cohorts received a HOPE Scholarship during their fir</w:t>
      </w:r>
      <w:r w:rsidR="006A2D26">
        <w:rPr>
          <w:rFonts w:eastAsia="Calibri" w:cs="Times New Roman"/>
        </w:rPr>
        <w:t>st year enrolled in the USG but provide no information on the pre-HOPE cohorts</w:t>
      </w:r>
      <w:r w:rsidR="005046C9">
        <w:rPr>
          <w:rFonts w:eastAsia="Calibri" w:cs="Times New Roman"/>
        </w:rPr>
        <w:t xml:space="preserve">. </w:t>
      </w:r>
      <w:r w:rsidR="000640C3">
        <w:rPr>
          <w:rFonts w:eastAsia="Calibri" w:cs="Times New Roman"/>
        </w:rPr>
        <w:t>The HOPE variable equals one if a student received a HOPE Scholarship upon matriculating as a freshman, and zero otherwise</w:t>
      </w:r>
      <w:r w:rsidR="005046C9">
        <w:rPr>
          <w:rFonts w:eastAsia="Calibri" w:cs="Times New Roman"/>
        </w:rPr>
        <w:t xml:space="preserve">. </w:t>
      </w:r>
      <w:r w:rsidR="00983CBB">
        <w:rPr>
          <w:rFonts w:eastAsia="Calibri" w:cs="Times New Roman"/>
        </w:rPr>
        <w:t>We refer to this as the freshman HOPE dummy</w:t>
      </w:r>
      <w:r w:rsidR="005046C9">
        <w:rPr>
          <w:rFonts w:eastAsia="Calibri" w:cs="Times New Roman"/>
        </w:rPr>
        <w:t xml:space="preserve">. </w:t>
      </w:r>
      <w:r w:rsidR="006A2D26">
        <w:rPr>
          <w:rFonts w:eastAsia="Calibri" w:cs="Times New Roman"/>
        </w:rPr>
        <w:t xml:space="preserve">The </w:t>
      </w:r>
      <w:proofErr w:type="spellStart"/>
      <w:r w:rsidR="006A2D26">
        <w:rPr>
          <w:rFonts w:eastAsia="Calibri" w:cs="Times New Roman"/>
        </w:rPr>
        <w:t>GDoL</w:t>
      </w:r>
      <w:proofErr w:type="spellEnd"/>
      <w:r w:rsidR="006A2D26">
        <w:rPr>
          <w:rFonts w:eastAsia="Calibri" w:cs="Times New Roman"/>
        </w:rPr>
        <w:t xml:space="preserve"> </w:t>
      </w:r>
      <w:r w:rsidR="004313AB">
        <w:rPr>
          <w:rFonts w:eastAsia="Calibri" w:cs="Times New Roman"/>
        </w:rPr>
        <w:t>records</w:t>
      </w:r>
      <w:r w:rsidR="006A2D26">
        <w:rPr>
          <w:rFonts w:eastAsia="Calibri" w:cs="Times New Roman"/>
        </w:rPr>
        <w:t xml:space="preserve"> </w:t>
      </w:r>
      <w:r w:rsidR="004313AB">
        <w:rPr>
          <w:rFonts w:eastAsia="Calibri" w:cs="Times New Roman"/>
        </w:rPr>
        <w:t xml:space="preserve">report whether an </w:t>
      </w:r>
      <w:r w:rsidR="004313AB">
        <w:rPr>
          <w:rFonts w:eastAsia="Calibri" w:cs="Times New Roman"/>
        </w:rPr>
        <w:lastRenderedPageBreak/>
        <w:t>individual had positive wage and salary earnings in Georgia for a given period of time.</w:t>
      </w:r>
      <w:r w:rsidR="00564B2B">
        <w:rPr>
          <w:rStyle w:val="FootnoteReference"/>
          <w:rFonts w:eastAsia="Calibri" w:cs="Times New Roman"/>
        </w:rPr>
        <w:footnoteReference w:id="17"/>
      </w:r>
      <w:r w:rsidR="00567F46">
        <w:rPr>
          <w:rFonts w:eastAsia="Calibri" w:cs="Times New Roman"/>
        </w:rPr>
        <w:t xml:space="preserve"> </w:t>
      </w:r>
      <w:r w:rsidR="00F8189E">
        <w:rPr>
          <w:rFonts w:eastAsia="Calibri" w:cs="Times New Roman"/>
        </w:rPr>
        <w:t>We use these employment records to measure retention</w:t>
      </w:r>
      <w:r w:rsidR="00510750">
        <w:rPr>
          <w:rFonts w:eastAsia="Calibri" w:cs="Times New Roman"/>
        </w:rPr>
        <w:t xml:space="preserve"> (employment)</w:t>
      </w:r>
      <w:r w:rsidR="00F8189E">
        <w:rPr>
          <w:rFonts w:eastAsia="Calibri" w:cs="Times New Roman"/>
        </w:rPr>
        <w:t xml:space="preserve"> in the Georgia several years after graduating high school</w:t>
      </w:r>
      <w:r w:rsidR="005046C9">
        <w:rPr>
          <w:rFonts w:eastAsia="Calibri" w:cs="Times New Roman"/>
        </w:rPr>
        <w:t xml:space="preserve">. </w:t>
      </w:r>
      <w:r w:rsidR="00C404FE">
        <w:rPr>
          <w:rFonts w:eastAsia="Calibri" w:cs="Times New Roman"/>
        </w:rPr>
        <w:t>We measure retention starting four years after graduating high school and for each year until 12 years after high school</w:t>
      </w:r>
      <w:r w:rsidR="005046C9">
        <w:rPr>
          <w:rFonts w:eastAsia="Calibri" w:cs="Times New Roman"/>
        </w:rPr>
        <w:t xml:space="preserve">. </w:t>
      </w:r>
      <w:r w:rsidR="0071096F">
        <w:rPr>
          <w:rFonts w:eastAsia="Calibri" w:cs="Times New Roman"/>
        </w:rPr>
        <w:t>S</w:t>
      </w:r>
      <w:r w:rsidR="008C1918">
        <w:rPr>
          <w:rFonts w:eastAsia="Calibri" w:cs="Times New Roman"/>
        </w:rPr>
        <w:t>tudent</w:t>
      </w:r>
      <w:r w:rsidR="0071096F">
        <w:rPr>
          <w:rFonts w:eastAsia="Calibri" w:cs="Times New Roman"/>
        </w:rPr>
        <w:t>s</w:t>
      </w:r>
      <w:r w:rsidR="008C1918">
        <w:rPr>
          <w:rFonts w:eastAsia="Calibri" w:cs="Times New Roman"/>
        </w:rPr>
        <w:t xml:space="preserve"> </w:t>
      </w:r>
      <w:r w:rsidR="0071096F">
        <w:rPr>
          <w:rFonts w:eastAsia="Calibri" w:cs="Times New Roman"/>
        </w:rPr>
        <w:t xml:space="preserve">are </w:t>
      </w:r>
      <w:r w:rsidR="008C1918">
        <w:rPr>
          <w:rFonts w:eastAsia="Calibri" w:cs="Times New Roman"/>
        </w:rPr>
        <w:t xml:space="preserve">defined as employed in Georgia X years after high school if </w:t>
      </w:r>
      <w:r w:rsidR="0071096F">
        <w:rPr>
          <w:rFonts w:eastAsia="Calibri" w:cs="Times New Roman"/>
        </w:rPr>
        <w:t xml:space="preserve">they </w:t>
      </w:r>
      <w:r w:rsidR="008C1918">
        <w:rPr>
          <w:rFonts w:eastAsia="Calibri" w:cs="Times New Roman"/>
        </w:rPr>
        <w:t xml:space="preserve">had positive earnings in Georgia during the calendar year X years after the year in which </w:t>
      </w:r>
      <w:r w:rsidR="0071096F">
        <w:rPr>
          <w:rFonts w:eastAsia="Calibri" w:cs="Times New Roman"/>
        </w:rPr>
        <w:t xml:space="preserve">they </w:t>
      </w:r>
      <w:r w:rsidR="008C1918">
        <w:rPr>
          <w:rFonts w:eastAsia="Calibri" w:cs="Times New Roman"/>
        </w:rPr>
        <w:t>graduated high school</w:t>
      </w:r>
      <w:r w:rsidR="005046C9">
        <w:rPr>
          <w:rFonts w:eastAsia="Calibri" w:cs="Times New Roman"/>
        </w:rPr>
        <w:t xml:space="preserve">. </w:t>
      </w:r>
      <w:r w:rsidR="008C1918">
        <w:rPr>
          <w:rFonts w:eastAsia="Calibri" w:cs="Times New Roman"/>
        </w:rPr>
        <w:t xml:space="preserve">For example, an individual graduating high school in 1990 is considered employed in Georgia six years later if </w:t>
      </w:r>
      <w:r w:rsidR="0071096F">
        <w:rPr>
          <w:rFonts w:eastAsia="Calibri" w:cs="Times New Roman"/>
        </w:rPr>
        <w:t xml:space="preserve">they </w:t>
      </w:r>
      <w:r w:rsidR="008C1918">
        <w:rPr>
          <w:rFonts w:eastAsia="Calibri" w:cs="Times New Roman"/>
        </w:rPr>
        <w:t>had positive earnings in Georgia at any</w:t>
      </w:r>
      <w:r w:rsidR="000640C3">
        <w:rPr>
          <w:rFonts w:eastAsia="Calibri" w:cs="Times New Roman"/>
        </w:rPr>
        <w:t xml:space="preserve"> </w:t>
      </w:r>
      <w:r w:rsidR="008C1918">
        <w:rPr>
          <w:rFonts w:eastAsia="Calibri" w:cs="Times New Roman"/>
        </w:rPr>
        <w:t>time during the 1996 calendar year</w:t>
      </w:r>
      <w:r w:rsidR="005046C9">
        <w:rPr>
          <w:rFonts w:eastAsia="Calibri" w:cs="Times New Roman"/>
        </w:rPr>
        <w:t xml:space="preserve">. </w:t>
      </w:r>
      <w:r w:rsidR="00C404FE">
        <w:rPr>
          <w:rFonts w:eastAsia="Calibri" w:cs="Times New Roman"/>
        </w:rPr>
        <w:t>Measuring employment by calendar year has the disadvantage of including individuals who work in the state in the early months of the year but leave later in the year</w:t>
      </w:r>
      <w:r w:rsidR="005046C9">
        <w:rPr>
          <w:rFonts w:eastAsia="Calibri" w:cs="Times New Roman"/>
        </w:rPr>
        <w:t xml:space="preserve">. </w:t>
      </w:r>
    </w:p>
    <w:p w:rsidR="00DF3BCE" w:rsidRDefault="00DF3BCE">
      <w:pPr>
        <w:spacing w:after="0" w:line="480" w:lineRule="auto"/>
        <w:ind w:firstLine="720"/>
        <w:rPr>
          <w:rFonts w:eastAsia="Calibri" w:cs="Times New Roman"/>
        </w:rPr>
      </w:pPr>
    </w:p>
    <w:p w:rsidR="00427A9F" w:rsidRPr="00E127B7" w:rsidRDefault="00E127B7" w:rsidP="00E127B7">
      <w:pPr>
        <w:spacing w:line="480" w:lineRule="auto"/>
        <w:rPr>
          <w:rFonts w:cs="Times New Roman"/>
          <w:b/>
        </w:rPr>
      </w:pPr>
      <w:r>
        <w:rPr>
          <w:rFonts w:cs="Times New Roman"/>
          <w:b/>
        </w:rPr>
        <w:t xml:space="preserve">V. </w:t>
      </w:r>
      <w:r w:rsidR="007C4875" w:rsidRPr="00E127B7">
        <w:rPr>
          <w:rFonts w:cs="Times New Roman"/>
          <w:b/>
        </w:rPr>
        <w:t xml:space="preserve">Empirical </w:t>
      </w:r>
      <w:r w:rsidR="00105C07" w:rsidRPr="00E127B7">
        <w:rPr>
          <w:rFonts w:cs="Times New Roman"/>
          <w:b/>
        </w:rPr>
        <w:t>Results</w:t>
      </w:r>
      <w:r w:rsidR="009462A5" w:rsidRPr="00E127B7">
        <w:rPr>
          <w:rFonts w:cs="Times New Roman"/>
          <w:b/>
        </w:rPr>
        <w:t xml:space="preserve"> for USG Analysis</w:t>
      </w:r>
    </w:p>
    <w:p w:rsidR="00A5740E" w:rsidRDefault="00A5740E">
      <w:pPr>
        <w:spacing w:after="0" w:line="480" w:lineRule="auto"/>
        <w:ind w:firstLine="720"/>
        <w:rPr>
          <w:rFonts w:eastAsia="Calibri" w:cs="Times New Roman"/>
        </w:rPr>
      </w:pPr>
      <w:r>
        <w:rPr>
          <w:rFonts w:eastAsia="Calibri" w:cs="Times New Roman"/>
        </w:rPr>
        <w:t xml:space="preserve">The </w:t>
      </w:r>
      <w:r w:rsidR="002A5BB3">
        <w:rPr>
          <w:rFonts w:eastAsia="Calibri" w:cs="Times New Roman"/>
        </w:rPr>
        <w:t>USG-</w:t>
      </w:r>
      <w:r>
        <w:rPr>
          <w:rFonts w:eastAsia="Calibri" w:cs="Times New Roman"/>
        </w:rPr>
        <w:t xml:space="preserve">approach to estimating the effect of HOPE on retention that </w:t>
      </w:r>
      <w:r w:rsidR="003F5449">
        <w:rPr>
          <w:rFonts w:eastAsia="Calibri" w:cs="Times New Roman"/>
        </w:rPr>
        <w:t xml:space="preserve">would </w:t>
      </w:r>
      <w:r>
        <w:rPr>
          <w:rFonts w:eastAsia="Calibri" w:cs="Times New Roman"/>
        </w:rPr>
        <w:t xml:space="preserve">probably </w:t>
      </w:r>
      <w:r w:rsidR="003F5449">
        <w:rPr>
          <w:rFonts w:eastAsia="Calibri" w:cs="Times New Roman"/>
        </w:rPr>
        <w:t>provide the</w:t>
      </w:r>
      <w:r>
        <w:rPr>
          <w:rFonts w:eastAsia="Calibri" w:cs="Times New Roman"/>
        </w:rPr>
        <w:t xml:space="preserve"> </w:t>
      </w:r>
      <w:r w:rsidR="003F5449">
        <w:rPr>
          <w:rFonts w:eastAsia="Calibri" w:cs="Times New Roman"/>
        </w:rPr>
        <w:t>strongest test</w:t>
      </w:r>
      <w:r>
        <w:rPr>
          <w:rFonts w:eastAsia="Calibri" w:cs="Times New Roman"/>
        </w:rPr>
        <w:t xml:space="preserve"> would be to estimate a difference-in-difference regression in which we used a student’s high school GPA to determine which students in</w:t>
      </w:r>
      <w:r w:rsidR="003F5449">
        <w:rPr>
          <w:rFonts w:eastAsia="Calibri" w:cs="Times New Roman"/>
        </w:rPr>
        <w:t xml:space="preserve"> the</w:t>
      </w:r>
      <w:r>
        <w:rPr>
          <w:rFonts w:eastAsia="Calibri" w:cs="Times New Roman"/>
        </w:rPr>
        <w:t xml:space="preserve"> 1990 and 1991</w:t>
      </w:r>
      <w:r w:rsidR="003F5449">
        <w:rPr>
          <w:rFonts w:eastAsia="Calibri" w:cs="Times New Roman"/>
        </w:rPr>
        <w:t xml:space="preserve"> cohorts </w:t>
      </w:r>
      <w:r>
        <w:rPr>
          <w:rFonts w:eastAsia="Calibri" w:cs="Times New Roman"/>
        </w:rPr>
        <w:t xml:space="preserve">would have been eligible for HOPE. Unfortunately, as discussed in more detail below, </w:t>
      </w:r>
      <w:r w:rsidR="00D66216">
        <w:rPr>
          <w:rFonts w:eastAsia="Calibri" w:cs="Times New Roman"/>
        </w:rPr>
        <w:t xml:space="preserve">HOPE eligibility </w:t>
      </w:r>
      <w:r w:rsidR="00E57FBD">
        <w:rPr>
          <w:rFonts w:eastAsia="Calibri" w:cs="Times New Roman"/>
        </w:rPr>
        <w:t xml:space="preserve">relies on </w:t>
      </w:r>
      <w:r w:rsidR="00C9006A">
        <w:rPr>
          <w:rFonts w:eastAsia="Calibri" w:cs="Times New Roman"/>
        </w:rPr>
        <w:t xml:space="preserve">a specially calculated </w:t>
      </w:r>
      <w:r w:rsidR="00D66216">
        <w:rPr>
          <w:rFonts w:eastAsia="Calibri" w:cs="Times New Roman"/>
        </w:rPr>
        <w:t>high school GPA</w:t>
      </w:r>
      <w:r w:rsidR="00E57FBD">
        <w:rPr>
          <w:rFonts w:eastAsia="Calibri" w:cs="Times New Roman"/>
        </w:rPr>
        <w:t xml:space="preserve"> that does not exist for</w:t>
      </w:r>
      <w:r w:rsidR="00C9006A">
        <w:rPr>
          <w:rFonts w:eastAsia="Calibri" w:cs="Times New Roman"/>
        </w:rPr>
        <w:t xml:space="preserve"> 1990 and 1991</w:t>
      </w:r>
      <w:r w:rsidR="005046C9">
        <w:rPr>
          <w:rFonts w:eastAsia="Calibri" w:cs="Times New Roman"/>
        </w:rPr>
        <w:t xml:space="preserve">. </w:t>
      </w:r>
      <w:r>
        <w:rPr>
          <w:rFonts w:eastAsia="Calibri" w:cs="Times New Roman"/>
        </w:rPr>
        <w:t xml:space="preserve">Thus, we use a number of </w:t>
      </w:r>
      <w:r w:rsidR="003F5449">
        <w:rPr>
          <w:rFonts w:eastAsia="Calibri" w:cs="Times New Roman"/>
        </w:rPr>
        <w:t>alternat</w:t>
      </w:r>
      <w:r w:rsidR="00983CBB">
        <w:rPr>
          <w:rFonts w:eastAsia="Calibri" w:cs="Times New Roman"/>
        </w:rPr>
        <w:t>i</w:t>
      </w:r>
      <w:r w:rsidR="003F5449">
        <w:rPr>
          <w:rFonts w:eastAsia="Calibri" w:cs="Times New Roman"/>
        </w:rPr>
        <w:t>ve</w:t>
      </w:r>
      <w:r>
        <w:rPr>
          <w:rFonts w:eastAsia="Calibri" w:cs="Times New Roman"/>
        </w:rPr>
        <w:t xml:space="preserve"> methods to </w:t>
      </w:r>
      <w:r w:rsidR="00C12BA8">
        <w:rPr>
          <w:rFonts w:eastAsia="Calibri" w:cs="Times New Roman"/>
        </w:rPr>
        <w:t xml:space="preserve">examine </w:t>
      </w:r>
      <w:r>
        <w:rPr>
          <w:rFonts w:eastAsia="Calibri" w:cs="Times New Roman"/>
        </w:rPr>
        <w:t>the effect</w:t>
      </w:r>
      <w:r w:rsidR="00C12BA8">
        <w:rPr>
          <w:rFonts w:eastAsia="Calibri" w:cs="Times New Roman"/>
        </w:rPr>
        <w:t>s</w:t>
      </w:r>
      <w:r>
        <w:rPr>
          <w:rFonts w:eastAsia="Calibri" w:cs="Times New Roman"/>
        </w:rPr>
        <w:t xml:space="preserve"> of HOPE on post-college retention</w:t>
      </w:r>
      <w:r w:rsidR="005046C9">
        <w:rPr>
          <w:rFonts w:eastAsia="Calibri" w:cs="Times New Roman"/>
        </w:rPr>
        <w:t xml:space="preserve">. </w:t>
      </w:r>
    </w:p>
    <w:p w:rsidR="00B61374" w:rsidRDefault="00B61374">
      <w:pPr>
        <w:spacing w:after="0" w:line="480" w:lineRule="auto"/>
        <w:ind w:firstLine="720"/>
        <w:rPr>
          <w:rFonts w:eastAsia="Calibri" w:cs="Times New Roman"/>
        </w:rPr>
      </w:pPr>
    </w:p>
    <w:p w:rsidR="005C4140" w:rsidRPr="000B23CD" w:rsidRDefault="005C4140" w:rsidP="000B23CD">
      <w:pPr>
        <w:spacing w:after="0" w:line="480" w:lineRule="auto"/>
        <w:rPr>
          <w:rFonts w:eastAsia="Calibri" w:cs="Times New Roman"/>
          <w:i/>
        </w:rPr>
      </w:pPr>
      <w:r w:rsidRPr="000B23CD">
        <w:rPr>
          <w:rFonts w:eastAsia="Calibri" w:cs="Times New Roman"/>
          <w:i/>
        </w:rPr>
        <w:t>Pre- and Post-HOPE Differences in Retention</w:t>
      </w:r>
    </w:p>
    <w:p w:rsidR="00DF3BCE" w:rsidRDefault="007763AE">
      <w:pPr>
        <w:spacing w:after="0" w:line="480" w:lineRule="auto"/>
        <w:ind w:firstLine="720"/>
        <w:rPr>
          <w:rFonts w:eastAsia="Calibri" w:cs="Times New Roman"/>
        </w:rPr>
      </w:pPr>
      <w:r w:rsidRPr="007763AE">
        <w:rPr>
          <w:rFonts w:eastAsia="Calibri" w:cs="Times New Roman"/>
        </w:rPr>
        <w:lastRenderedPageBreak/>
        <w:t>We begin by examining differences</w:t>
      </w:r>
      <w:r w:rsidR="00CE7F50">
        <w:rPr>
          <w:rFonts w:eastAsia="Calibri" w:cs="Times New Roman"/>
        </w:rPr>
        <w:t xml:space="preserve"> </w:t>
      </w:r>
      <w:r w:rsidR="00E57FBD">
        <w:rPr>
          <w:rFonts w:eastAsia="Calibri" w:cs="Times New Roman"/>
        </w:rPr>
        <w:t xml:space="preserve">in the means of several </w:t>
      </w:r>
      <w:r w:rsidR="00B61374">
        <w:rPr>
          <w:rFonts w:eastAsia="Calibri" w:cs="Times New Roman"/>
        </w:rPr>
        <w:t xml:space="preserve">academic and demographic </w:t>
      </w:r>
      <w:r w:rsidR="00E57FBD">
        <w:rPr>
          <w:rFonts w:eastAsia="Calibri" w:cs="Times New Roman"/>
        </w:rPr>
        <w:t>characteristics of</w:t>
      </w:r>
      <w:r w:rsidR="00CE7F50">
        <w:rPr>
          <w:rFonts w:eastAsia="Calibri" w:cs="Times New Roman"/>
        </w:rPr>
        <w:t xml:space="preserve"> the pre- and post-HOPE USG cohorts</w:t>
      </w:r>
      <w:r w:rsidR="000A3DAD">
        <w:rPr>
          <w:rFonts w:eastAsia="Calibri" w:cs="Times New Roman"/>
        </w:rPr>
        <w:t xml:space="preserve"> (</w:t>
      </w:r>
      <w:r w:rsidR="00CE7F50">
        <w:rPr>
          <w:rFonts w:eastAsia="Calibri" w:cs="Times New Roman"/>
        </w:rPr>
        <w:t>Table 1</w:t>
      </w:r>
      <w:r w:rsidR="000A3DAD">
        <w:rPr>
          <w:rFonts w:eastAsia="Calibri" w:cs="Times New Roman"/>
        </w:rPr>
        <w:t>)</w:t>
      </w:r>
      <w:r w:rsidR="005046C9">
        <w:rPr>
          <w:rFonts w:eastAsia="Calibri" w:cs="Times New Roman"/>
        </w:rPr>
        <w:t xml:space="preserve">. </w:t>
      </w:r>
      <w:r w:rsidR="00CE7F50">
        <w:rPr>
          <w:rFonts w:eastAsia="Calibri" w:cs="Times New Roman"/>
        </w:rPr>
        <w:t xml:space="preserve">Consistent with earlier studies by Henry </w:t>
      </w:r>
      <w:r w:rsidR="00A57C6E">
        <w:rPr>
          <w:rFonts w:eastAsia="Calibri" w:cs="Times New Roman"/>
        </w:rPr>
        <w:t>and Rubenstein</w:t>
      </w:r>
      <w:r w:rsidR="00CE7F50">
        <w:rPr>
          <w:rFonts w:eastAsia="Calibri" w:cs="Times New Roman"/>
        </w:rPr>
        <w:t xml:space="preserve"> (200</w:t>
      </w:r>
      <w:r w:rsidR="00A57C6E">
        <w:rPr>
          <w:rFonts w:eastAsia="Calibri" w:cs="Times New Roman"/>
        </w:rPr>
        <w:t>2</w:t>
      </w:r>
      <w:r w:rsidR="00CE7F50">
        <w:rPr>
          <w:rFonts w:eastAsia="Calibri" w:cs="Times New Roman"/>
        </w:rPr>
        <w:t xml:space="preserve">) and Cornwell </w:t>
      </w:r>
      <w:r w:rsidR="005F2923">
        <w:rPr>
          <w:rFonts w:eastAsia="Calibri" w:cs="Times New Roman"/>
        </w:rPr>
        <w:t>and Mustard</w:t>
      </w:r>
      <w:r w:rsidR="00CE7F50">
        <w:rPr>
          <w:rFonts w:eastAsia="Calibri" w:cs="Times New Roman"/>
        </w:rPr>
        <w:t xml:space="preserve"> (</w:t>
      </w:r>
      <w:r w:rsidR="005F2923">
        <w:rPr>
          <w:rFonts w:eastAsia="Calibri" w:cs="Times New Roman"/>
        </w:rPr>
        <w:t>2006</w:t>
      </w:r>
      <w:r w:rsidR="00CE7F50">
        <w:rPr>
          <w:rFonts w:eastAsia="Calibri" w:cs="Times New Roman"/>
        </w:rPr>
        <w:t>), the data suggest a considerable increase in high school grade point average (GPA)</w:t>
      </w:r>
      <w:r w:rsidR="002319F4">
        <w:rPr>
          <w:rFonts w:eastAsia="Calibri" w:cs="Times New Roman"/>
        </w:rPr>
        <w:t xml:space="preserve"> in core courses</w:t>
      </w:r>
      <w:r w:rsidR="00CE7F50">
        <w:rPr>
          <w:rFonts w:eastAsia="Calibri" w:cs="Times New Roman"/>
        </w:rPr>
        <w:t xml:space="preserve"> and SAT scores after HOPE</w:t>
      </w:r>
      <w:r w:rsidR="00B572C1">
        <w:rPr>
          <w:rFonts w:eastAsia="Calibri" w:cs="Times New Roman"/>
        </w:rPr>
        <w:t xml:space="preserve"> was implemented</w:t>
      </w:r>
      <w:r w:rsidR="00CE7F50">
        <w:rPr>
          <w:rFonts w:eastAsia="Calibri" w:cs="Times New Roman"/>
        </w:rPr>
        <w:t>.</w:t>
      </w:r>
      <w:r w:rsidR="00E45AD4">
        <w:rPr>
          <w:rStyle w:val="FootnoteReference"/>
          <w:rFonts w:eastAsia="Calibri" w:cs="Times New Roman"/>
        </w:rPr>
        <w:footnoteReference w:id="18"/>
      </w:r>
      <w:r w:rsidR="00567F46">
        <w:rPr>
          <w:rFonts w:eastAsia="Calibri" w:cs="Times New Roman"/>
        </w:rPr>
        <w:t xml:space="preserve"> </w:t>
      </w:r>
      <w:r w:rsidR="00F51998">
        <w:rPr>
          <w:rFonts w:eastAsia="Calibri" w:cs="Times New Roman"/>
        </w:rPr>
        <w:t>According to p</w:t>
      </w:r>
      <w:r w:rsidR="00CE7F50">
        <w:rPr>
          <w:rFonts w:eastAsia="Calibri" w:cs="Times New Roman"/>
        </w:rPr>
        <w:t>revious researchers</w:t>
      </w:r>
      <w:r w:rsidR="00F51998">
        <w:rPr>
          <w:rFonts w:eastAsia="Calibri" w:cs="Times New Roman"/>
        </w:rPr>
        <w:t>,</w:t>
      </w:r>
      <w:r w:rsidR="00CE7F50">
        <w:rPr>
          <w:rFonts w:eastAsia="Calibri" w:cs="Times New Roman"/>
        </w:rPr>
        <w:t xml:space="preserve"> </w:t>
      </w:r>
      <w:r w:rsidR="00F51998">
        <w:rPr>
          <w:rFonts w:eastAsia="Calibri" w:cs="Times New Roman"/>
        </w:rPr>
        <w:t>the increases in GPAs and SAT scores</w:t>
      </w:r>
      <w:r w:rsidR="00CE7F50">
        <w:rPr>
          <w:rFonts w:eastAsia="Calibri" w:cs="Times New Roman"/>
        </w:rPr>
        <w:t xml:space="preserve"> </w:t>
      </w:r>
      <w:r w:rsidR="00F51998">
        <w:rPr>
          <w:rFonts w:eastAsia="Calibri" w:cs="Times New Roman"/>
        </w:rPr>
        <w:t xml:space="preserve">suggest </w:t>
      </w:r>
      <w:r w:rsidR="00CE7F50">
        <w:rPr>
          <w:rFonts w:eastAsia="Calibri" w:cs="Times New Roman"/>
        </w:rPr>
        <w:t>that HOPE increased incentives to devote greater effort to secondary schooling</w:t>
      </w:r>
      <w:r w:rsidR="005046C9">
        <w:rPr>
          <w:rFonts w:eastAsia="Calibri" w:cs="Times New Roman"/>
        </w:rPr>
        <w:t xml:space="preserve">. </w:t>
      </w:r>
      <w:r w:rsidR="002319F4">
        <w:rPr>
          <w:rFonts w:eastAsia="Calibri" w:cs="Times New Roman"/>
        </w:rPr>
        <w:t>Our estimates suggest that 70 percent of recent Georgia high school graduates in the post-HOPE sample received the HOPE Scholarship during their first year of study</w:t>
      </w:r>
      <w:r w:rsidR="005046C9">
        <w:rPr>
          <w:rFonts w:eastAsia="Calibri" w:cs="Times New Roman"/>
        </w:rPr>
        <w:t xml:space="preserve">. </w:t>
      </w:r>
      <w:r w:rsidR="00D23886">
        <w:rPr>
          <w:rFonts w:eastAsia="Calibri" w:cs="Times New Roman"/>
        </w:rPr>
        <w:t>This percentage might seem high given the mean GPA of 2.87, but HOPE eligibility was based on total GPA (including electives) while the high school GPA reported in the USG data was only for core courses</w:t>
      </w:r>
      <w:r w:rsidR="005046C9">
        <w:rPr>
          <w:rFonts w:eastAsia="Calibri" w:cs="Times New Roman"/>
        </w:rPr>
        <w:t xml:space="preserve">. </w:t>
      </w:r>
      <w:r w:rsidR="00D23886">
        <w:rPr>
          <w:rFonts w:eastAsia="Calibri" w:cs="Times New Roman"/>
        </w:rPr>
        <w:t>We examined the data more closely and found that many students with a core GPA below 3.0 were still eligible for HOPE because of total GPAs above the cutoff.</w:t>
      </w:r>
      <w:r w:rsidR="00582FA6">
        <w:rPr>
          <w:rStyle w:val="FootnoteReference"/>
          <w:rFonts w:eastAsia="Calibri" w:cs="Times New Roman"/>
        </w:rPr>
        <w:footnoteReference w:id="19"/>
      </w:r>
      <w:r w:rsidR="00567F46">
        <w:rPr>
          <w:rFonts w:eastAsia="Calibri" w:cs="Times New Roman"/>
        </w:rPr>
        <w:t xml:space="preserve"> </w:t>
      </w:r>
      <w:r w:rsidR="00BB437B">
        <w:rPr>
          <w:rFonts w:eastAsia="Calibri" w:cs="Times New Roman"/>
        </w:rPr>
        <w:t>T</w:t>
      </w:r>
      <w:r w:rsidR="00690192">
        <w:rPr>
          <w:rFonts w:eastAsia="Calibri" w:cs="Times New Roman"/>
        </w:rPr>
        <w:t xml:space="preserve">able 1 also reports that </w:t>
      </w:r>
      <w:r w:rsidR="00F824FE">
        <w:rPr>
          <w:rFonts w:eastAsia="Calibri" w:cs="Times New Roman"/>
        </w:rPr>
        <w:t>students in the post-HOPE USG cohorts were more likely to</w:t>
      </w:r>
      <w:r w:rsidR="003C65B3">
        <w:rPr>
          <w:rFonts w:eastAsia="Calibri" w:cs="Times New Roman"/>
        </w:rPr>
        <w:t xml:space="preserve"> be</w:t>
      </w:r>
      <w:r w:rsidR="00F824FE">
        <w:rPr>
          <w:rFonts w:eastAsia="Calibri" w:cs="Times New Roman"/>
        </w:rPr>
        <w:t xml:space="preserve"> female and less likely to be white</w:t>
      </w:r>
      <w:r w:rsidR="000A3DAD">
        <w:rPr>
          <w:rFonts w:eastAsia="Calibri" w:cs="Times New Roman"/>
        </w:rPr>
        <w:t>, which is a reflection of a longer-term trend in USG enrollment</w:t>
      </w:r>
      <w:r w:rsidR="005046C9">
        <w:rPr>
          <w:rFonts w:eastAsia="Calibri" w:cs="Times New Roman"/>
        </w:rPr>
        <w:t xml:space="preserve">. </w:t>
      </w:r>
    </w:p>
    <w:p w:rsidR="00DF3BCE" w:rsidRDefault="00995A80">
      <w:pPr>
        <w:spacing w:after="0" w:line="480" w:lineRule="auto"/>
        <w:ind w:firstLine="720"/>
      </w:pPr>
      <w:r>
        <w:rPr>
          <w:rFonts w:eastAsia="Calibri" w:cs="Times New Roman"/>
        </w:rPr>
        <w:t xml:space="preserve">Table 1 also shows that </w:t>
      </w:r>
      <w:r w:rsidR="00070101">
        <w:rPr>
          <w:rFonts w:eastAsia="Calibri" w:cs="Times New Roman"/>
        </w:rPr>
        <w:t xml:space="preserve">USG </w:t>
      </w:r>
      <w:r>
        <w:rPr>
          <w:rFonts w:eastAsia="Calibri" w:cs="Times New Roman"/>
        </w:rPr>
        <w:t>enrollment of recent Georgia high school graduates increased by nearly 14 percent between the pre- and post-HOPE cohorts</w:t>
      </w:r>
      <w:r w:rsidR="005046C9">
        <w:rPr>
          <w:rFonts w:eastAsia="Calibri" w:cs="Times New Roman"/>
        </w:rPr>
        <w:t xml:space="preserve">. </w:t>
      </w:r>
      <w:r w:rsidR="00E26A7C">
        <w:rPr>
          <w:rFonts w:eastAsia="Calibri" w:cs="Times New Roman"/>
        </w:rPr>
        <w:t xml:space="preserve">This is even more impressive given that National Center for Education Statistics estimates in the </w:t>
      </w:r>
      <w:r w:rsidR="00BE217B" w:rsidRPr="00BE217B">
        <w:rPr>
          <w:rFonts w:eastAsia="Calibri" w:cs="Times New Roman"/>
          <w:i/>
        </w:rPr>
        <w:t>Digest of Education Statistics</w:t>
      </w:r>
      <w:r w:rsidR="00E26A7C">
        <w:rPr>
          <w:rFonts w:eastAsia="Calibri" w:cs="Times New Roman"/>
        </w:rPr>
        <w:t xml:space="preserve"> report that the number of Georgia high school graduates during these years actually decreased by four percentage points (NCES various years)</w:t>
      </w:r>
      <w:r w:rsidR="005046C9">
        <w:rPr>
          <w:rFonts w:eastAsia="Calibri" w:cs="Times New Roman"/>
        </w:rPr>
        <w:t xml:space="preserve">. </w:t>
      </w:r>
      <w:r w:rsidR="00BB437B">
        <w:rPr>
          <w:rFonts w:eastAsia="Calibri" w:cs="Times New Roman"/>
        </w:rPr>
        <w:t xml:space="preserve">The increase in enrollment is likely attributable to at least </w:t>
      </w:r>
      <w:r w:rsidR="00567235">
        <w:rPr>
          <w:rFonts w:eastAsia="Calibri" w:cs="Times New Roman"/>
        </w:rPr>
        <w:t>three</w:t>
      </w:r>
      <w:r w:rsidR="00BB437B">
        <w:rPr>
          <w:rFonts w:eastAsia="Calibri" w:cs="Times New Roman"/>
        </w:rPr>
        <w:t xml:space="preserve"> sources</w:t>
      </w:r>
      <w:r w:rsidR="005046C9">
        <w:rPr>
          <w:rFonts w:eastAsia="Calibri" w:cs="Times New Roman"/>
        </w:rPr>
        <w:t xml:space="preserve">. </w:t>
      </w:r>
      <w:r w:rsidR="00BB437B">
        <w:rPr>
          <w:rFonts w:eastAsia="Calibri" w:cs="Times New Roman"/>
        </w:rPr>
        <w:t>First, HOPE caused some students to enroll in the USG who would have gone to college out-of-state</w:t>
      </w:r>
      <w:r w:rsidR="005046C9">
        <w:rPr>
          <w:rFonts w:eastAsia="Calibri" w:cs="Times New Roman"/>
        </w:rPr>
        <w:t xml:space="preserve">. </w:t>
      </w:r>
      <w:r w:rsidR="00BB437B">
        <w:rPr>
          <w:rFonts w:eastAsia="Calibri" w:cs="Times New Roman"/>
        </w:rPr>
        <w:t>Second, HOPE caused some students</w:t>
      </w:r>
      <w:r w:rsidR="00567235">
        <w:rPr>
          <w:rFonts w:eastAsia="Calibri" w:cs="Times New Roman"/>
        </w:rPr>
        <w:t xml:space="preserve"> to enroll in the USG who would have enrolled at private colleges and universities in Georgia</w:t>
      </w:r>
      <w:r w:rsidR="005046C9">
        <w:rPr>
          <w:rFonts w:eastAsia="Calibri" w:cs="Times New Roman"/>
        </w:rPr>
        <w:t xml:space="preserve">. </w:t>
      </w:r>
      <w:r w:rsidR="00567235">
        <w:rPr>
          <w:rFonts w:eastAsia="Calibri" w:cs="Times New Roman"/>
        </w:rPr>
        <w:lastRenderedPageBreak/>
        <w:t>Third, HOPE caused some students to enroll in the USG who would not have attended college at all or would have delayed attending college</w:t>
      </w:r>
      <w:r w:rsidR="005046C9">
        <w:rPr>
          <w:rFonts w:eastAsia="Calibri" w:cs="Times New Roman"/>
        </w:rPr>
        <w:t xml:space="preserve">. </w:t>
      </w:r>
      <w:r w:rsidR="00567235">
        <w:rPr>
          <w:rFonts w:eastAsia="Calibri" w:cs="Times New Roman"/>
        </w:rPr>
        <w:t xml:space="preserve">Our data do not allow us to sort out these </w:t>
      </w:r>
      <w:r w:rsidR="00B572C1">
        <w:rPr>
          <w:rFonts w:eastAsia="Calibri" w:cs="Times New Roman"/>
        </w:rPr>
        <w:t>possible causes</w:t>
      </w:r>
      <w:r w:rsidR="001C63B4">
        <w:rPr>
          <w:rFonts w:eastAsia="Calibri" w:cs="Times New Roman"/>
        </w:rPr>
        <w:t xml:space="preserve">, but </w:t>
      </w:r>
      <w:r w:rsidR="001C63B4">
        <w:t>Dynarski (2000,</w:t>
      </w:r>
      <w:r w:rsidR="00D61C9E">
        <w:t xml:space="preserve"> 2002,</w:t>
      </w:r>
      <w:r w:rsidR="001C63B4">
        <w:t xml:space="preserve"> </w:t>
      </w:r>
      <w:proofErr w:type="gramStart"/>
      <w:r w:rsidR="001C63B4">
        <w:t>2004</w:t>
      </w:r>
      <w:proofErr w:type="gramEnd"/>
      <w:r w:rsidR="001C63B4">
        <w:t>) and Cornwell</w:t>
      </w:r>
      <w:r w:rsidR="00C75571">
        <w:t xml:space="preserve"> et al.</w:t>
      </w:r>
      <w:r w:rsidR="001C63B4">
        <w:t xml:space="preserve"> (2006) find that HOPE increased the percentage of Georgia high school graduates who go to college and caused </w:t>
      </w:r>
      <w:r w:rsidR="00070101">
        <w:t xml:space="preserve">some </w:t>
      </w:r>
      <w:r w:rsidR="001C63B4">
        <w:t>students who would have gone to college out-of-state to attend in-state schools instead.</w:t>
      </w:r>
    </w:p>
    <w:p w:rsidR="00B572C1" w:rsidRDefault="00C9006A">
      <w:pPr>
        <w:spacing w:after="0" w:line="480" w:lineRule="auto"/>
        <w:ind w:firstLine="720"/>
        <w:rPr>
          <w:rFonts w:eastAsia="Calibri" w:cs="Times New Roman"/>
        </w:rPr>
      </w:pPr>
      <w:r>
        <w:rPr>
          <w:rFonts w:eastAsia="Calibri" w:cs="Times New Roman"/>
        </w:rPr>
        <w:t>Turning to retention rates, we first</w:t>
      </w:r>
      <w:r w:rsidR="003E4678">
        <w:rPr>
          <w:rFonts w:eastAsia="Calibri" w:cs="Times New Roman"/>
        </w:rPr>
        <w:t xml:space="preserve"> </w:t>
      </w:r>
      <w:r w:rsidR="00BC0DD4">
        <w:rPr>
          <w:rFonts w:eastAsia="Calibri" w:cs="Times New Roman"/>
        </w:rPr>
        <w:t>look at mean retention rates before and after HOPE for all recent Georgia high school graduates regardless of their actual or potential HOPE eligibility.</w:t>
      </w:r>
      <w:r w:rsidR="000A3DAD">
        <w:rPr>
          <w:rStyle w:val="FootnoteReference"/>
          <w:rFonts w:eastAsia="Calibri" w:cs="Times New Roman"/>
        </w:rPr>
        <w:footnoteReference w:id="20"/>
      </w:r>
      <w:r w:rsidR="00567F46">
        <w:rPr>
          <w:rFonts w:eastAsia="Calibri" w:cs="Times New Roman"/>
        </w:rPr>
        <w:t xml:space="preserve"> </w:t>
      </w:r>
      <w:r w:rsidR="00DD059E" w:rsidRPr="003E4678">
        <w:rPr>
          <w:rFonts w:eastAsia="Calibri" w:cs="Times New Roman"/>
        </w:rPr>
        <w:t xml:space="preserve">Given that 70 percent of the post-HOPE sample received the HOPE Scholarship, </w:t>
      </w:r>
      <w:r w:rsidR="003E4678">
        <w:rPr>
          <w:rFonts w:eastAsia="Calibri" w:cs="Times New Roman"/>
        </w:rPr>
        <w:t>we might expect</w:t>
      </w:r>
      <w:r w:rsidR="00DD059E" w:rsidRPr="003E4678">
        <w:rPr>
          <w:rFonts w:eastAsia="Calibri" w:cs="Times New Roman"/>
        </w:rPr>
        <w:t xml:space="preserve"> that </w:t>
      </w:r>
      <w:r w:rsidR="003E4678">
        <w:rPr>
          <w:rFonts w:eastAsia="Calibri" w:cs="Times New Roman"/>
        </w:rPr>
        <w:t>meaningful</w:t>
      </w:r>
      <w:r w:rsidR="003E4678" w:rsidRPr="003E4678">
        <w:rPr>
          <w:rFonts w:eastAsia="Calibri" w:cs="Times New Roman"/>
        </w:rPr>
        <w:t xml:space="preserve"> </w:t>
      </w:r>
      <w:r w:rsidR="00DD059E" w:rsidRPr="003E4678">
        <w:rPr>
          <w:rFonts w:eastAsia="Calibri" w:cs="Times New Roman"/>
        </w:rPr>
        <w:t>effect</w:t>
      </w:r>
      <w:r w:rsidR="003E4678">
        <w:rPr>
          <w:rFonts w:eastAsia="Calibri" w:cs="Times New Roman"/>
        </w:rPr>
        <w:t>s</w:t>
      </w:r>
      <w:r w:rsidR="00DD059E" w:rsidRPr="003E4678">
        <w:rPr>
          <w:rFonts w:eastAsia="Calibri" w:cs="Times New Roman"/>
        </w:rPr>
        <w:t xml:space="preserve"> of HOPE on retention would </w:t>
      </w:r>
      <w:r w:rsidR="003E4678">
        <w:rPr>
          <w:rFonts w:eastAsia="Calibri" w:cs="Times New Roman"/>
        </w:rPr>
        <w:t>create</w:t>
      </w:r>
      <w:r w:rsidR="00DD059E" w:rsidRPr="003E4678">
        <w:rPr>
          <w:rFonts w:eastAsia="Calibri" w:cs="Times New Roman"/>
        </w:rPr>
        <w:t xml:space="preserve"> differences in the mean retention rates of the pre- and post-HOPE cohorts</w:t>
      </w:r>
      <w:r w:rsidR="005046C9">
        <w:rPr>
          <w:rFonts w:eastAsia="Calibri" w:cs="Times New Roman"/>
        </w:rPr>
        <w:t xml:space="preserve">. </w:t>
      </w:r>
      <w:r w:rsidR="001C01A6">
        <w:rPr>
          <w:rFonts w:eastAsia="Calibri" w:cs="Times New Roman"/>
        </w:rPr>
        <w:t xml:space="preserve">Table </w:t>
      </w:r>
      <w:r w:rsidR="002A3C26">
        <w:rPr>
          <w:rFonts w:eastAsia="Calibri" w:cs="Times New Roman"/>
        </w:rPr>
        <w:t xml:space="preserve">2a </w:t>
      </w:r>
      <w:r w:rsidR="0006350A">
        <w:rPr>
          <w:rFonts w:eastAsia="Calibri" w:cs="Times New Roman"/>
        </w:rPr>
        <w:t xml:space="preserve">reports mean </w:t>
      </w:r>
      <w:r w:rsidR="00B572C1">
        <w:rPr>
          <w:rFonts w:eastAsia="Calibri" w:cs="Times New Roman"/>
        </w:rPr>
        <w:t>retention</w:t>
      </w:r>
      <w:r w:rsidR="0006350A">
        <w:rPr>
          <w:rFonts w:eastAsia="Calibri" w:cs="Times New Roman"/>
        </w:rPr>
        <w:t xml:space="preserve"> rates in Georgia for several years after high school for all recent Georgia high school graduates in the pre- and post-HOPE USG cohorts</w:t>
      </w:r>
      <w:r w:rsidR="005F4D62">
        <w:rPr>
          <w:rFonts w:eastAsia="Calibri" w:cs="Times New Roman"/>
        </w:rPr>
        <w:t xml:space="preserve">, regardless of HOPE eligibility, current enrollment status, </w:t>
      </w:r>
      <w:r w:rsidR="00B572C1">
        <w:rPr>
          <w:rFonts w:eastAsia="Calibri" w:cs="Times New Roman"/>
        </w:rPr>
        <w:t xml:space="preserve">or </w:t>
      </w:r>
      <w:r w:rsidR="005F4D62">
        <w:rPr>
          <w:rFonts w:eastAsia="Calibri" w:cs="Times New Roman"/>
        </w:rPr>
        <w:t>degree completion</w:t>
      </w:r>
      <w:r w:rsidR="005046C9">
        <w:rPr>
          <w:rFonts w:eastAsia="Calibri" w:cs="Times New Roman"/>
        </w:rPr>
        <w:t xml:space="preserve">. </w:t>
      </w:r>
      <w:r w:rsidR="005F4D62">
        <w:rPr>
          <w:rFonts w:eastAsia="Calibri" w:cs="Times New Roman"/>
        </w:rPr>
        <w:t xml:space="preserve">For both groups retention rates </w:t>
      </w:r>
      <w:r w:rsidR="00F87336">
        <w:rPr>
          <w:rFonts w:eastAsia="Calibri" w:cs="Times New Roman"/>
        </w:rPr>
        <w:t>are just shy of 82 percent four years after high school</w:t>
      </w:r>
      <w:r w:rsidR="00B572C1">
        <w:rPr>
          <w:rFonts w:eastAsia="Calibri" w:cs="Times New Roman"/>
        </w:rPr>
        <w:t>,</w:t>
      </w:r>
      <w:r w:rsidR="00F87336">
        <w:rPr>
          <w:rFonts w:eastAsia="Calibri" w:cs="Times New Roman"/>
        </w:rPr>
        <w:t xml:space="preserve"> but retention rates </w:t>
      </w:r>
      <w:r w:rsidR="005F4D62">
        <w:rPr>
          <w:rFonts w:eastAsia="Calibri" w:cs="Times New Roman"/>
        </w:rPr>
        <w:t>decline with the number of years after high school</w:t>
      </w:r>
      <w:r w:rsidR="004D0D19">
        <w:rPr>
          <w:rFonts w:eastAsia="Calibri" w:cs="Times New Roman"/>
        </w:rPr>
        <w:t xml:space="preserve">, likely because nontrivial numbers of students leave the state after finishing schooling and the cumulative share that has left </w:t>
      </w:r>
      <w:r w:rsidR="00E57FBD">
        <w:rPr>
          <w:rFonts w:eastAsia="Calibri" w:cs="Times New Roman"/>
        </w:rPr>
        <w:t xml:space="preserve">the state </w:t>
      </w:r>
      <w:r w:rsidR="004D0D19">
        <w:rPr>
          <w:rFonts w:eastAsia="Calibri" w:cs="Times New Roman"/>
        </w:rPr>
        <w:t>grows over time</w:t>
      </w:r>
      <w:r w:rsidR="005046C9">
        <w:rPr>
          <w:rFonts w:eastAsia="Calibri" w:cs="Times New Roman"/>
        </w:rPr>
        <w:t xml:space="preserve">. </w:t>
      </w:r>
      <w:r w:rsidR="009043FD">
        <w:rPr>
          <w:rFonts w:eastAsia="Calibri" w:cs="Times New Roman"/>
        </w:rPr>
        <w:t>By twelve years after high school, the share employed in the state falls below 70 percent for both groups</w:t>
      </w:r>
      <w:r w:rsidR="005046C9">
        <w:rPr>
          <w:rFonts w:eastAsia="Calibri" w:cs="Times New Roman"/>
        </w:rPr>
        <w:t xml:space="preserve">. </w:t>
      </w:r>
    </w:p>
    <w:p w:rsidR="00DF3BCE" w:rsidRDefault="006F0CF7">
      <w:pPr>
        <w:spacing w:after="0" w:line="480" w:lineRule="auto"/>
        <w:ind w:firstLine="720"/>
        <w:rPr>
          <w:rFonts w:eastAsia="Calibri" w:cs="Times New Roman"/>
        </w:rPr>
      </w:pPr>
      <w:r>
        <w:rPr>
          <w:rFonts w:eastAsia="Calibri" w:cs="Times New Roman"/>
        </w:rPr>
        <w:t xml:space="preserve">More important for our purposes is the difference in retention rates </w:t>
      </w:r>
      <w:r w:rsidR="006F3A3A">
        <w:rPr>
          <w:rFonts w:eastAsia="Calibri" w:cs="Times New Roman"/>
        </w:rPr>
        <w:t>before and after HOPE</w:t>
      </w:r>
      <w:r>
        <w:rPr>
          <w:rFonts w:eastAsia="Calibri" w:cs="Times New Roman"/>
        </w:rPr>
        <w:t>.</w:t>
      </w:r>
      <w:r w:rsidR="00B572C1">
        <w:rPr>
          <w:rFonts w:eastAsia="Calibri" w:cs="Times New Roman"/>
        </w:rPr>
        <w:t xml:space="preserve"> </w:t>
      </w:r>
      <w:r w:rsidR="00C06FF0">
        <w:rPr>
          <w:rFonts w:eastAsia="Calibri" w:cs="Times New Roman"/>
        </w:rPr>
        <w:t xml:space="preserve">Table </w:t>
      </w:r>
      <w:r w:rsidR="002A3C26">
        <w:rPr>
          <w:rFonts w:eastAsia="Calibri" w:cs="Times New Roman"/>
        </w:rPr>
        <w:t xml:space="preserve">2a </w:t>
      </w:r>
      <w:r w:rsidR="00C06FF0">
        <w:rPr>
          <w:rFonts w:eastAsia="Calibri" w:cs="Times New Roman"/>
        </w:rPr>
        <w:t xml:space="preserve">suggests </w:t>
      </w:r>
      <w:r w:rsidR="00E308C7">
        <w:rPr>
          <w:rFonts w:eastAsia="Calibri" w:cs="Times New Roman"/>
        </w:rPr>
        <w:t xml:space="preserve">relatively </w:t>
      </w:r>
      <w:r w:rsidR="00C06FF0">
        <w:rPr>
          <w:rFonts w:eastAsia="Calibri" w:cs="Times New Roman"/>
        </w:rPr>
        <w:t>s</w:t>
      </w:r>
      <w:r w:rsidR="00B572C1">
        <w:rPr>
          <w:rFonts w:eastAsia="Calibri" w:cs="Times New Roman"/>
        </w:rPr>
        <w:t>mall</w:t>
      </w:r>
      <w:r w:rsidR="00E308C7">
        <w:rPr>
          <w:rFonts w:eastAsia="Calibri" w:cs="Times New Roman"/>
        </w:rPr>
        <w:t xml:space="preserve"> </w:t>
      </w:r>
      <w:r w:rsidR="00C06FF0">
        <w:rPr>
          <w:rFonts w:eastAsia="Calibri" w:cs="Times New Roman"/>
        </w:rPr>
        <w:t xml:space="preserve">differences </w:t>
      </w:r>
      <w:r w:rsidR="00E57FBD">
        <w:rPr>
          <w:rFonts w:eastAsia="Calibri" w:cs="Times New Roman"/>
        </w:rPr>
        <w:t>(less than 3.5 percentage point</w:t>
      </w:r>
      <w:r w:rsidR="009D7E73">
        <w:rPr>
          <w:rFonts w:eastAsia="Calibri" w:cs="Times New Roman"/>
        </w:rPr>
        <w:t>s</w:t>
      </w:r>
      <w:r w:rsidR="00E57FBD">
        <w:rPr>
          <w:rFonts w:eastAsia="Calibri" w:cs="Times New Roman"/>
        </w:rPr>
        <w:t xml:space="preserve">) </w:t>
      </w:r>
      <w:r w:rsidR="00C06FF0">
        <w:rPr>
          <w:rFonts w:eastAsia="Calibri" w:cs="Times New Roman"/>
        </w:rPr>
        <w:t xml:space="preserve">in </w:t>
      </w:r>
      <w:r w:rsidR="006F3A3A">
        <w:rPr>
          <w:rFonts w:eastAsia="Calibri" w:cs="Times New Roman"/>
        </w:rPr>
        <w:t xml:space="preserve">retention rates for </w:t>
      </w:r>
      <w:r w:rsidR="00C06FF0">
        <w:rPr>
          <w:rFonts w:eastAsia="Calibri" w:cs="Times New Roman"/>
        </w:rPr>
        <w:t>the pre- and post-HOPE USG cohorts</w:t>
      </w:r>
      <w:r w:rsidR="00070101">
        <w:rPr>
          <w:rFonts w:eastAsia="Calibri" w:cs="Times New Roman"/>
        </w:rPr>
        <w:t xml:space="preserve">, with the retention rates being smaller </w:t>
      </w:r>
      <w:r w:rsidR="00070101">
        <w:rPr>
          <w:rFonts w:eastAsia="Calibri" w:cs="Times New Roman"/>
        </w:rPr>
        <w:lastRenderedPageBreak/>
        <w:t>for the 1995-1996 cohorts</w:t>
      </w:r>
      <w:r w:rsidR="008E1D92">
        <w:rPr>
          <w:rFonts w:eastAsia="Calibri" w:cs="Times New Roman"/>
        </w:rPr>
        <w:t>.</w:t>
      </w:r>
      <w:r w:rsidR="008E1D92">
        <w:rPr>
          <w:rStyle w:val="FootnoteReference"/>
          <w:rFonts w:eastAsia="Calibri" w:cs="Times New Roman"/>
        </w:rPr>
        <w:footnoteReference w:id="21"/>
      </w:r>
      <w:r w:rsidR="00567F46">
        <w:rPr>
          <w:rFonts w:eastAsia="Calibri" w:cs="Times New Roman"/>
        </w:rPr>
        <w:t xml:space="preserve"> </w:t>
      </w:r>
      <w:r w:rsidR="00E57FBD">
        <w:rPr>
          <w:rFonts w:eastAsia="Calibri" w:cs="Times New Roman"/>
        </w:rPr>
        <w:t xml:space="preserve">The differences are statistically significant except for the 4-year and 12-year differences. </w:t>
      </w:r>
      <w:r w:rsidR="006F3A3A">
        <w:rPr>
          <w:rFonts w:eastAsia="Calibri" w:cs="Times New Roman"/>
        </w:rPr>
        <w:t>The differences are largest between seven and nine years after high school, with differences of 0.03 or larger</w:t>
      </w:r>
      <w:r w:rsidR="005046C9">
        <w:rPr>
          <w:rFonts w:eastAsia="Calibri" w:cs="Times New Roman"/>
        </w:rPr>
        <w:t xml:space="preserve">. </w:t>
      </w:r>
      <w:r w:rsidR="00C60317">
        <w:rPr>
          <w:rFonts w:eastAsia="Calibri" w:cs="Times New Roman"/>
        </w:rPr>
        <w:t>However, the differences fade out after 11 and 12 years</w:t>
      </w:r>
      <w:r w:rsidR="005046C9">
        <w:rPr>
          <w:rFonts w:eastAsia="Calibri" w:cs="Times New Roman"/>
        </w:rPr>
        <w:t xml:space="preserve">. </w:t>
      </w:r>
    </w:p>
    <w:p w:rsidR="00DF3BCE" w:rsidRDefault="00674EFE">
      <w:pPr>
        <w:spacing w:after="0" w:line="480" w:lineRule="auto"/>
        <w:ind w:firstLine="720"/>
        <w:rPr>
          <w:rFonts w:eastAsia="Calibri" w:cs="Times New Roman"/>
        </w:rPr>
      </w:pPr>
      <w:r>
        <w:rPr>
          <w:rFonts w:eastAsia="Calibri" w:cs="Times New Roman"/>
        </w:rPr>
        <w:t xml:space="preserve">Researchers have suggested that college education increases geographic mobility (Bound and </w:t>
      </w:r>
      <w:proofErr w:type="spellStart"/>
      <w:r>
        <w:rPr>
          <w:rFonts w:eastAsia="Calibri" w:cs="Times New Roman"/>
        </w:rPr>
        <w:t>Holzer</w:t>
      </w:r>
      <w:proofErr w:type="spellEnd"/>
      <w:r>
        <w:rPr>
          <w:rFonts w:eastAsia="Calibri" w:cs="Times New Roman"/>
        </w:rPr>
        <w:t xml:space="preserve"> 2000; Chen and Rosenthal 2008; Wozniak 2010; Groen 2011). </w:t>
      </w:r>
      <w:r w:rsidR="00E57FBD">
        <w:rPr>
          <w:rFonts w:eastAsia="Calibri" w:cs="Times New Roman"/>
        </w:rPr>
        <w:t xml:space="preserve">If college graduates </w:t>
      </w:r>
      <w:r>
        <w:rPr>
          <w:rFonts w:eastAsia="Calibri" w:cs="Times New Roman"/>
        </w:rPr>
        <w:t xml:space="preserve">do </w:t>
      </w:r>
      <w:r w:rsidR="00E57FBD">
        <w:rPr>
          <w:rFonts w:eastAsia="Calibri" w:cs="Times New Roman"/>
        </w:rPr>
        <w:t>have different retention rates than non-graduates</w:t>
      </w:r>
      <w:r>
        <w:rPr>
          <w:rFonts w:eastAsia="Calibri" w:cs="Times New Roman"/>
        </w:rPr>
        <w:t>,</w:t>
      </w:r>
      <w:r w:rsidR="00E57FBD">
        <w:rPr>
          <w:rFonts w:eastAsia="Calibri" w:cs="Times New Roman"/>
        </w:rPr>
        <w:t xml:space="preserve"> then o</w:t>
      </w:r>
      <w:r w:rsidR="005E0E56">
        <w:rPr>
          <w:rFonts w:eastAsia="Calibri" w:cs="Times New Roman"/>
        </w:rPr>
        <w:t>ne mechanism by which HOPE might affect retention</w:t>
      </w:r>
      <w:r w:rsidR="00BF673A">
        <w:rPr>
          <w:rFonts w:eastAsia="Calibri" w:cs="Times New Roman"/>
        </w:rPr>
        <w:t xml:space="preserve"> in Georgia</w:t>
      </w:r>
      <w:r w:rsidR="005E0E56">
        <w:rPr>
          <w:rFonts w:eastAsia="Calibri" w:cs="Times New Roman"/>
        </w:rPr>
        <w:t xml:space="preserve"> is through </w:t>
      </w:r>
      <w:r w:rsidR="00E57FBD">
        <w:rPr>
          <w:rFonts w:eastAsia="Calibri" w:cs="Times New Roman"/>
        </w:rPr>
        <w:t>the effect of HOPE on</w:t>
      </w:r>
      <w:r w:rsidR="005E0E56">
        <w:rPr>
          <w:rFonts w:eastAsia="Calibri" w:cs="Times New Roman"/>
        </w:rPr>
        <w:t xml:space="preserve"> </w:t>
      </w:r>
      <w:r w:rsidR="00582FA6">
        <w:rPr>
          <w:rFonts w:eastAsia="Calibri" w:cs="Times New Roman"/>
        </w:rPr>
        <w:t xml:space="preserve">college </w:t>
      </w:r>
      <w:r w:rsidR="005E0E56">
        <w:rPr>
          <w:rFonts w:eastAsia="Calibri" w:cs="Times New Roman"/>
        </w:rPr>
        <w:t>graduation rates</w:t>
      </w:r>
      <w:r w:rsidR="005046C9">
        <w:rPr>
          <w:rFonts w:eastAsia="Calibri" w:cs="Times New Roman"/>
        </w:rPr>
        <w:t xml:space="preserve">. </w:t>
      </w:r>
      <w:r w:rsidR="004E7976">
        <w:rPr>
          <w:rFonts w:eastAsia="Calibri" w:cs="Times New Roman"/>
        </w:rPr>
        <w:t xml:space="preserve">Henry, Rubenstein and Bugler (2004) conduct a regression discontinuity </w:t>
      </w:r>
      <w:r w:rsidR="00855CA6">
        <w:rPr>
          <w:rFonts w:eastAsia="Calibri" w:cs="Times New Roman"/>
        </w:rPr>
        <w:t>study and find that HOPE recipients enrolled in USG institutions just above the GPA cutoff are significantly more likely to graduate within four years than counterparts just below the GPA cutoff</w:t>
      </w:r>
      <w:r w:rsidR="005046C9">
        <w:rPr>
          <w:rFonts w:eastAsia="Calibri" w:cs="Times New Roman"/>
        </w:rPr>
        <w:t xml:space="preserve">. </w:t>
      </w:r>
      <w:proofErr w:type="spellStart"/>
      <w:r w:rsidR="00855CA6">
        <w:rPr>
          <w:rFonts w:eastAsia="Calibri" w:cs="Times New Roman"/>
        </w:rPr>
        <w:t>Dynarksi</w:t>
      </w:r>
      <w:proofErr w:type="spellEnd"/>
      <w:r w:rsidR="00855CA6">
        <w:rPr>
          <w:rFonts w:eastAsia="Calibri" w:cs="Times New Roman"/>
        </w:rPr>
        <w:t xml:space="preserve"> (2008) </w:t>
      </w:r>
      <w:r w:rsidR="00D81586">
        <w:rPr>
          <w:rFonts w:eastAsia="Calibri" w:cs="Times New Roman"/>
        </w:rPr>
        <w:t xml:space="preserve">uses the 2000 Census 1% Public Use Microdata Sample (PUMS) to </w:t>
      </w:r>
      <w:r w:rsidR="00855CA6">
        <w:rPr>
          <w:rFonts w:eastAsia="Calibri" w:cs="Times New Roman"/>
        </w:rPr>
        <w:t>suggest more generally that merit scholarship programs in Arkansas and Georgia increased degree completion for persons born in those states</w:t>
      </w:r>
      <w:r w:rsidR="005046C9">
        <w:rPr>
          <w:rFonts w:eastAsia="Calibri" w:cs="Times New Roman"/>
        </w:rPr>
        <w:t xml:space="preserve">. </w:t>
      </w:r>
      <w:r w:rsidR="00855CA6">
        <w:rPr>
          <w:rFonts w:eastAsia="Calibri" w:cs="Times New Roman"/>
        </w:rPr>
        <w:t xml:space="preserve">Sjoquist and </w:t>
      </w:r>
      <w:proofErr w:type="gramStart"/>
      <w:r w:rsidR="00855CA6">
        <w:rPr>
          <w:rFonts w:eastAsia="Calibri" w:cs="Times New Roman"/>
        </w:rPr>
        <w:t>Winters</w:t>
      </w:r>
      <w:proofErr w:type="gramEnd"/>
      <w:r w:rsidR="00127C5B">
        <w:rPr>
          <w:rFonts w:eastAsia="Calibri" w:cs="Times New Roman"/>
        </w:rPr>
        <w:t xml:space="preserve"> </w:t>
      </w:r>
      <w:r w:rsidR="00855CA6">
        <w:rPr>
          <w:rFonts w:eastAsia="Calibri" w:cs="Times New Roman"/>
        </w:rPr>
        <w:t>(</w:t>
      </w:r>
      <w:r w:rsidR="002F02BD">
        <w:rPr>
          <w:rFonts w:eastAsia="Calibri" w:cs="Times New Roman"/>
        </w:rPr>
        <w:t>2012</w:t>
      </w:r>
      <w:r w:rsidR="009663F6">
        <w:rPr>
          <w:rFonts w:eastAsia="Calibri" w:cs="Times New Roman"/>
        </w:rPr>
        <w:t>a</w:t>
      </w:r>
      <w:r w:rsidR="00855CA6">
        <w:rPr>
          <w:rFonts w:eastAsia="Calibri" w:cs="Times New Roman"/>
        </w:rPr>
        <w:t xml:space="preserve">), however, suggest that </w:t>
      </w:r>
      <w:proofErr w:type="spellStart"/>
      <w:r w:rsidR="00855CA6">
        <w:rPr>
          <w:rFonts w:eastAsia="Calibri" w:cs="Times New Roman"/>
        </w:rPr>
        <w:t>Dynarski’s</w:t>
      </w:r>
      <w:proofErr w:type="spellEnd"/>
      <w:r w:rsidR="00855CA6">
        <w:rPr>
          <w:rFonts w:eastAsia="Calibri" w:cs="Times New Roman"/>
        </w:rPr>
        <w:t xml:space="preserve"> (2008) results are not robust to using a similar sample</w:t>
      </w:r>
      <w:r w:rsidR="00D81586">
        <w:rPr>
          <w:rFonts w:eastAsia="Calibri" w:cs="Times New Roman"/>
        </w:rPr>
        <w:t xml:space="preserve"> (the 5% PUMS)</w:t>
      </w:r>
      <w:r w:rsidR="00855CA6">
        <w:rPr>
          <w:rFonts w:eastAsia="Calibri" w:cs="Times New Roman"/>
        </w:rPr>
        <w:t xml:space="preserve"> </w:t>
      </w:r>
      <w:r w:rsidR="00127C5B">
        <w:rPr>
          <w:rFonts w:eastAsia="Calibri" w:cs="Times New Roman"/>
        </w:rPr>
        <w:t>or</w:t>
      </w:r>
      <w:r w:rsidR="00855CA6">
        <w:rPr>
          <w:rFonts w:eastAsia="Calibri" w:cs="Times New Roman"/>
        </w:rPr>
        <w:t xml:space="preserve"> improved inference techniques.</w:t>
      </w:r>
      <w:r w:rsidR="00324B6D">
        <w:rPr>
          <w:rStyle w:val="FootnoteReference"/>
          <w:rFonts w:eastAsia="Calibri" w:cs="Times New Roman"/>
        </w:rPr>
        <w:footnoteReference w:id="22"/>
      </w:r>
    </w:p>
    <w:p w:rsidR="00DF3BCE" w:rsidRDefault="00E57FBD">
      <w:pPr>
        <w:spacing w:after="0" w:line="480" w:lineRule="auto"/>
        <w:ind w:firstLine="720"/>
        <w:rPr>
          <w:rFonts w:eastAsia="Calibri" w:cs="Times New Roman"/>
        </w:rPr>
      </w:pPr>
      <w:r>
        <w:rPr>
          <w:rFonts w:eastAsia="Calibri" w:cs="Times New Roman"/>
        </w:rPr>
        <w:t xml:space="preserve">We use the USG sample to consider </w:t>
      </w:r>
      <w:r w:rsidR="000A3DAD">
        <w:rPr>
          <w:rFonts w:eastAsia="Calibri" w:cs="Times New Roman"/>
        </w:rPr>
        <w:t xml:space="preserve">whether </w:t>
      </w:r>
      <w:r w:rsidR="00544C61">
        <w:rPr>
          <w:rFonts w:eastAsia="Calibri" w:cs="Times New Roman"/>
        </w:rPr>
        <w:t xml:space="preserve">bachelor’s degree completion rates several years after high school </w:t>
      </w:r>
      <w:r w:rsidR="000A3DAD">
        <w:rPr>
          <w:rFonts w:eastAsia="Calibri" w:cs="Times New Roman"/>
        </w:rPr>
        <w:t xml:space="preserve">changed as a result of </w:t>
      </w:r>
      <w:r w:rsidR="00544C61">
        <w:rPr>
          <w:rFonts w:eastAsia="Calibri" w:cs="Times New Roman"/>
        </w:rPr>
        <w:t>HOPE</w:t>
      </w:r>
      <w:r w:rsidR="000A3DAD">
        <w:rPr>
          <w:rFonts w:eastAsia="Calibri" w:cs="Times New Roman"/>
        </w:rPr>
        <w:t>.</w:t>
      </w:r>
      <w:r w:rsidR="00567F46">
        <w:rPr>
          <w:rFonts w:eastAsia="Calibri" w:cs="Times New Roman"/>
        </w:rPr>
        <w:t xml:space="preserve"> </w:t>
      </w:r>
      <w:r w:rsidR="00A836B0">
        <w:rPr>
          <w:rFonts w:eastAsia="Calibri" w:cs="Times New Roman"/>
        </w:rPr>
        <w:t>Similarly to how retention is measured, a</w:t>
      </w:r>
      <w:r w:rsidR="00544C61">
        <w:rPr>
          <w:rFonts w:eastAsia="Calibri" w:cs="Times New Roman"/>
        </w:rPr>
        <w:t xml:space="preserve">n </w:t>
      </w:r>
      <w:r w:rsidR="00A836B0">
        <w:rPr>
          <w:rFonts w:eastAsia="Calibri" w:cs="Times New Roman"/>
        </w:rPr>
        <w:t xml:space="preserve">individual is defined as a college graduate X years after high school if </w:t>
      </w:r>
      <w:r w:rsidR="00BE6D6A">
        <w:rPr>
          <w:rFonts w:eastAsia="Calibri" w:cs="Times New Roman"/>
        </w:rPr>
        <w:t xml:space="preserve">they </w:t>
      </w:r>
      <w:r w:rsidR="00A836B0">
        <w:rPr>
          <w:rFonts w:eastAsia="Calibri" w:cs="Times New Roman"/>
        </w:rPr>
        <w:t>had earned a bachelor’s degree within the calendar year X years after graduating high school</w:t>
      </w:r>
      <w:r w:rsidR="005046C9">
        <w:rPr>
          <w:rFonts w:eastAsia="Calibri" w:cs="Times New Roman"/>
        </w:rPr>
        <w:t xml:space="preserve">. </w:t>
      </w:r>
      <w:r w:rsidR="00A836B0">
        <w:rPr>
          <w:rFonts w:eastAsia="Calibri" w:cs="Times New Roman"/>
        </w:rPr>
        <w:t xml:space="preserve">For example, a student graduating high school in 1990 would be defined as having completed a bachelor’s </w:t>
      </w:r>
      <w:r w:rsidR="00A836B0">
        <w:rPr>
          <w:rFonts w:eastAsia="Calibri" w:cs="Times New Roman"/>
        </w:rPr>
        <w:lastRenderedPageBreak/>
        <w:t xml:space="preserve">within six years of high school if </w:t>
      </w:r>
      <w:r w:rsidR="00BE6D6A">
        <w:rPr>
          <w:rFonts w:eastAsia="Calibri" w:cs="Times New Roman"/>
        </w:rPr>
        <w:t xml:space="preserve">they </w:t>
      </w:r>
      <w:r w:rsidR="00A836B0">
        <w:rPr>
          <w:rFonts w:eastAsia="Calibri" w:cs="Times New Roman"/>
        </w:rPr>
        <w:t>earned a degree anytime during or before December 1996</w:t>
      </w:r>
      <w:r w:rsidR="005046C9">
        <w:rPr>
          <w:rFonts w:eastAsia="Calibri" w:cs="Times New Roman"/>
        </w:rPr>
        <w:t xml:space="preserve">. </w:t>
      </w:r>
      <w:r w:rsidR="00F7495C">
        <w:rPr>
          <w:rFonts w:eastAsia="Calibri" w:cs="Times New Roman"/>
        </w:rPr>
        <w:t xml:space="preserve">As seen in Table </w:t>
      </w:r>
      <w:r w:rsidR="00A61FCA">
        <w:rPr>
          <w:rFonts w:eastAsia="Calibri" w:cs="Times New Roman"/>
        </w:rPr>
        <w:t>2b</w:t>
      </w:r>
      <w:r w:rsidR="00F7495C">
        <w:rPr>
          <w:rFonts w:eastAsia="Calibri" w:cs="Times New Roman"/>
        </w:rPr>
        <w:t>, bachelor’s degree completion rates were</w:t>
      </w:r>
      <w:r w:rsidR="00674EFE">
        <w:rPr>
          <w:rFonts w:eastAsia="Calibri" w:cs="Times New Roman"/>
        </w:rPr>
        <w:t xml:space="preserve"> statistically significantly</w:t>
      </w:r>
      <w:r w:rsidR="00F7495C">
        <w:rPr>
          <w:rFonts w:eastAsia="Calibri" w:cs="Times New Roman"/>
        </w:rPr>
        <w:t xml:space="preserve"> higher after HOPE by more than two percentage points for all except four years after high school</w:t>
      </w:r>
      <w:r w:rsidR="005046C9">
        <w:rPr>
          <w:rFonts w:eastAsia="Calibri" w:cs="Times New Roman"/>
        </w:rPr>
        <w:t xml:space="preserve">. </w:t>
      </w:r>
      <w:r w:rsidR="00F05C59">
        <w:rPr>
          <w:rFonts w:eastAsia="Calibri" w:cs="Times New Roman"/>
        </w:rPr>
        <w:t xml:space="preserve">For example, </w:t>
      </w:r>
      <w:r w:rsidR="009B6C62">
        <w:rPr>
          <w:rFonts w:eastAsia="Calibri" w:cs="Times New Roman"/>
        </w:rPr>
        <w:t xml:space="preserve">within </w:t>
      </w:r>
      <w:r w:rsidR="00F05C59">
        <w:rPr>
          <w:rFonts w:eastAsia="Calibri" w:cs="Times New Roman"/>
        </w:rPr>
        <w:t xml:space="preserve">twelve years </w:t>
      </w:r>
      <w:r w:rsidR="009B6C62">
        <w:rPr>
          <w:rFonts w:eastAsia="Calibri" w:cs="Times New Roman"/>
        </w:rPr>
        <w:t>after high school 45.8 percent of the post-HOPE USG cohort had completed a bachelor’s degree in the USG but only 43.3 percent of the pre-HOPE USG cohort had done so</w:t>
      </w:r>
      <w:r w:rsidR="005046C9">
        <w:rPr>
          <w:rFonts w:eastAsia="Calibri" w:cs="Times New Roman"/>
        </w:rPr>
        <w:t xml:space="preserve">. </w:t>
      </w:r>
    </w:p>
    <w:p w:rsidR="00674EFE" w:rsidRDefault="00674EFE" w:rsidP="001F1B6E">
      <w:pPr>
        <w:spacing w:after="0" w:line="480" w:lineRule="auto"/>
        <w:ind w:firstLine="720"/>
        <w:rPr>
          <w:rFonts w:eastAsia="Calibri" w:cs="Times New Roman"/>
        </w:rPr>
      </w:pPr>
      <w:r>
        <w:rPr>
          <w:rFonts w:eastAsia="Calibri" w:cs="Times New Roman"/>
        </w:rPr>
        <w:t xml:space="preserve">Given that HOPE appears to have </w:t>
      </w:r>
      <w:r w:rsidR="0067012B">
        <w:rPr>
          <w:rFonts w:eastAsia="Calibri" w:cs="Times New Roman"/>
        </w:rPr>
        <w:t xml:space="preserve">increased the percentage of students who </w:t>
      </w:r>
      <w:r>
        <w:rPr>
          <w:rFonts w:eastAsia="Calibri" w:cs="Times New Roman"/>
        </w:rPr>
        <w:t>graduate, as well as the fact that</w:t>
      </w:r>
      <w:r w:rsidR="00407133">
        <w:rPr>
          <w:rFonts w:eastAsia="Calibri" w:cs="Times New Roman"/>
        </w:rPr>
        <w:t xml:space="preserve"> policymakers are likely</w:t>
      </w:r>
      <w:r w:rsidR="000A3DAD">
        <w:rPr>
          <w:rFonts w:eastAsia="Calibri" w:cs="Times New Roman"/>
        </w:rPr>
        <w:t xml:space="preserve"> to be</w:t>
      </w:r>
      <w:r w:rsidR="00407133">
        <w:rPr>
          <w:rFonts w:eastAsia="Calibri" w:cs="Times New Roman"/>
        </w:rPr>
        <w:t xml:space="preserve"> especially interested in retaining college graduates</w:t>
      </w:r>
      <w:r>
        <w:rPr>
          <w:rFonts w:eastAsia="Calibri" w:cs="Times New Roman"/>
        </w:rPr>
        <w:t xml:space="preserve">, </w:t>
      </w:r>
      <w:r w:rsidR="008E1D92">
        <w:rPr>
          <w:rFonts w:eastAsia="Calibri" w:cs="Times New Roman"/>
        </w:rPr>
        <w:t xml:space="preserve">we consider the effects of HOPE on retention in Georgia for </w:t>
      </w:r>
      <w:r>
        <w:rPr>
          <w:rFonts w:eastAsia="Calibri" w:cs="Times New Roman"/>
        </w:rPr>
        <w:t xml:space="preserve">just </w:t>
      </w:r>
      <w:r w:rsidR="008E1D92">
        <w:rPr>
          <w:rFonts w:eastAsia="Calibri" w:cs="Times New Roman"/>
        </w:rPr>
        <w:t>those who have earned a bachelor’s degree at a USG institution</w:t>
      </w:r>
      <w:r w:rsidR="005046C9">
        <w:rPr>
          <w:rFonts w:eastAsia="Calibri" w:cs="Times New Roman"/>
        </w:rPr>
        <w:t xml:space="preserve">. </w:t>
      </w:r>
      <w:r w:rsidR="00C72C7C">
        <w:rPr>
          <w:rFonts w:eastAsia="Calibri" w:cs="Times New Roman"/>
        </w:rPr>
        <w:t>Table</w:t>
      </w:r>
      <w:r w:rsidR="00A61FCA">
        <w:rPr>
          <w:rFonts w:eastAsia="Calibri" w:cs="Times New Roman"/>
        </w:rPr>
        <w:t xml:space="preserve"> 2c</w:t>
      </w:r>
      <w:r w:rsidR="00C72C7C">
        <w:rPr>
          <w:rFonts w:eastAsia="Calibri" w:cs="Times New Roman"/>
        </w:rPr>
        <w:t xml:space="preserve"> </w:t>
      </w:r>
      <w:r>
        <w:rPr>
          <w:rFonts w:eastAsia="Calibri" w:cs="Times New Roman"/>
        </w:rPr>
        <w:t xml:space="preserve">is equivalent to </w:t>
      </w:r>
      <w:r w:rsidR="00C72C7C">
        <w:rPr>
          <w:rFonts w:eastAsia="Calibri" w:cs="Times New Roman"/>
        </w:rPr>
        <w:t xml:space="preserve">Tables </w:t>
      </w:r>
      <w:r w:rsidR="002A3C26">
        <w:rPr>
          <w:rFonts w:eastAsia="Calibri" w:cs="Times New Roman"/>
        </w:rPr>
        <w:t>2a</w:t>
      </w:r>
      <w:r w:rsidR="00A61FCA">
        <w:rPr>
          <w:rFonts w:eastAsia="Calibri" w:cs="Times New Roman"/>
        </w:rPr>
        <w:t>,</w:t>
      </w:r>
      <w:r>
        <w:rPr>
          <w:rFonts w:eastAsia="Calibri" w:cs="Times New Roman"/>
        </w:rPr>
        <w:t xml:space="preserve"> but</w:t>
      </w:r>
      <w:r w:rsidR="00A61FCA">
        <w:rPr>
          <w:rFonts w:eastAsia="Calibri" w:cs="Times New Roman"/>
        </w:rPr>
        <w:t xml:space="preserve"> </w:t>
      </w:r>
      <w:r w:rsidR="00C72C7C">
        <w:rPr>
          <w:rFonts w:eastAsia="Calibri" w:cs="Times New Roman"/>
        </w:rPr>
        <w:t>restrict</w:t>
      </w:r>
      <w:r>
        <w:rPr>
          <w:rFonts w:eastAsia="Calibri" w:cs="Times New Roman"/>
        </w:rPr>
        <w:t>s</w:t>
      </w:r>
      <w:r w:rsidR="00C72C7C">
        <w:rPr>
          <w:rFonts w:eastAsia="Calibri" w:cs="Times New Roman"/>
        </w:rPr>
        <w:t xml:space="preserve"> the </w:t>
      </w:r>
      <w:r w:rsidR="004F31E0">
        <w:rPr>
          <w:rFonts w:eastAsia="Calibri" w:cs="Times New Roman"/>
        </w:rPr>
        <w:t xml:space="preserve">USG </w:t>
      </w:r>
      <w:r w:rsidR="00C72C7C">
        <w:rPr>
          <w:rFonts w:eastAsia="Calibri" w:cs="Times New Roman"/>
        </w:rPr>
        <w:t>sample to individuals who have completed a bachelor’s degree within X years after high school</w:t>
      </w:r>
      <w:r w:rsidR="005046C9">
        <w:rPr>
          <w:rFonts w:eastAsia="Calibri" w:cs="Times New Roman"/>
        </w:rPr>
        <w:t xml:space="preserve">. </w:t>
      </w:r>
      <w:r w:rsidR="008E1D92">
        <w:rPr>
          <w:rFonts w:eastAsia="Calibri" w:cs="Times New Roman"/>
        </w:rPr>
        <w:t>As seen in</w:t>
      </w:r>
      <w:r w:rsidR="00D02353">
        <w:rPr>
          <w:rFonts w:eastAsia="Calibri" w:cs="Times New Roman"/>
        </w:rPr>
        <w:t xml:space="preserve"> Table 2c </w:t>
      </w:r>
      <w:r w:rsidR="008E1D92">
        <w:rPr>
          <w:rFonts w:eastAsia="Calibri" w:cs="Times New Roman"/>
        </w:rPr>
        <w:t>the retention rates are actually larger for college graduates than for all attendees for both groups</w:t>
      </w:r>
      <w:r w:rsidR="005046C9">
        <w:rPr>
          <w:rFonts w:eastAsia="Calibri" w:cs="Times New Roman"/>
        </w:rPr>
        <w:t xml:space="preserve">. </w:t>
      </w:r>
      <w:r>
        <w:rPr>
          <w:rFonts w:eastAsia="Calibri" w:cs="Times New Roman"/>
        </w:rPr>
        <w:t>Furthermore</w:t>
      </w:r>
      <w:r w:rsidR="008E1D92">
        <w:rPr>
          <w:rFonts w:eastAsia="Calibri" w:cs="Times New Roman"/>
        </w:rPr>
        <w:t>, the differences in retention rates are</w:t>
      </w:r>
      <w:r>
        <w:rPr>
          <w:rFonts w:eastAsia="Calibri" w:cs="Times New Roman"/>
        </w:rPr>
        <w:t xml:space="preserve"> somewhat</w:t>
      </w:r>
      <w:r w:rsidR="00D02353">
        <w:rPr>
          <w:rFonts w:eastAsia="Calibri" w:cs="Times New Roman"/>
        </w:rPr>
        <w:t xml:space="preserve"> </w:t>
      </w:r>
      <w:r w:rsidR="008E1D92">
        <w:rPr>
          <w:rFonts w:eastAsia="Calibri" w:cs="Times New Roman"/>
        </w:rPr>
        <w:t xml:space="preserve">larger than those reported in </w:t>
      </w:r>
      <w:r w:rsidR="00D02353">
        <w:rPr>
          <w:rFonts w:eastAsia="Calibri" w:cs="Times New Roman"/>
        </w:rPr>
        <w:t>Table 2a</w:t>
      </w:r>
      <w:r w:rsidR="00E308C7">
        <w:rPr>
          <w:rFonts w:eastAsia="Calibri" w:cs="Times New Roman"/>
        </w:rPr>
        <w:t>, and again are statistically significant</w:t>
      </w:r>
      <w:r w:rsidR="005046C9">
        <w:rPr>
          <w:rFonts w:eastAsia="Calibri" w:cs="Times New Roman"/>
        </w:rPr>
        <w:t xml:space="preserve">. </w:t>
      </w:r>
    </w:p>
    <w:p w:rsidR="001F1B6E" w:rsidRDefault="00D02353" w:rsidP="001F1B6E">
      <w:pPr>
        <w:spacing w:after="0" w:line="480" w:lineRule="auto"/>
        <w:ind w:firstLine="720"/>
        <w:rPr>
          <w:rFonts w:eastAsia="Calibri" w:cs="Times New Roman"/>
        </w:rPr>
      </w:pPr>
      <w:r>
        <w:rPr>
          <w:rFonts w:eastAsia="Calibri" w:cs="Times New Roman"/>
        </w:rPr>
        <w:t>Table</w:t>
      </w:r>
      <w:r w:rsidR="00674EFE">
        <w:rPr>
          <w:rFonts w:eastAsia="Calibri" w:cs="Times New Roman"/>
        </w:rPr>
        <w:t>s</w:t>
      </w:r>
      <w:r>
        <w:rPr>
          <w:rFonts w:eastAsia="Calibri" w:cs="Times New Roman"/>
        </w:rPr>
        <w:t xml:space="preserve"> </w:t>
      </w:r>
      <w:r w:rsidR="008E1D92">
        <w:rPr>
          <w:rFonts w:eastAsia="Calibri" w:cs="Times New Roman"/>
        </w:rPr>
        <w:t>2</w:t>
      </w:r>
      <w:r w:rsidR="00674EFE">
        <w:rPr>
          <w:rFonts w:eastAsia="Calibri" w:cs="Times New Roman"/>
        </w:rPr>
        <w:t>a and 2</w:t>
      </w:r>
      <w:r w:rsidR="00E308C7">
        <w:rPr>
          <w:rFonts w:eastAsia="Calibri" w:cs="Times New Roman"/>
        </w:rPr>
        <w:t>c</w:t>
      </w:r>
      <w:r>
        <w:rPr>
          <w:rFonts w:eastAsia="Calibri" w:cs="Times New Roman"/>
        </w:rPr>
        <w:t xml:space="preserve"> suggests that</w:t>
      </w:r>
      <w:r w:rsidR="002A5A32">
        <w:rPr>
          <w:rFonts w:eastAsia="Calibri" w:cs="Times New Roman"/>
        </w:rPr>
        <w:t xml:space="preserve"> HOPE had </w:t>
      </w:r>
      <w:r w:rsidR="001408CA">
        <w:rPr>
          <w:rFonts w:eastAsia="Calibri" w:cs="Times New Roman"/>
        </w:rPr>
        <w:t>a modest</w:t>
      </w:r>
      <w:r w:rsidR="000D19C0">
        <w:rPr>
          <w:rFonts w:eastAsia="Calibri" w:cs="Times New Roman"/>
        </w:rPr>
        <w:t xml:space="preserve"> </w:t>
      </w:r>
      <w:r w:rsidR="00674EFE">
        <w:rPr>
          <w:rFonts w:eastAsia="Calibri" w:cs="Times New Roman"/>
        </w:rPr>
        <w:t xml:space="preserve">and negative </w:t>
      </w:r>
      <w:r w:rsidR="002A5A32">
        <w:rPr>
          <w:rFonts w:eastAsia="Calibri" w:cs="Times New Roman"/>
        </w:rPr>
        <w:t xml:space="preserve">effect on </w:t>
      </w:r>
      <w:r w:rsidR="00C76960">
        <w:rPr>
          <w:rFonts w:eastAsia="Calibri" w:cs="Times New Roman"/>
        </w:rPr>
        <w:t xml:space="preserve">average </w:t>
      </w:r>
      <w:r w:rsidR="002A5A32">
        <w:rPr>
          <w:rFonts w:eastAsia="Calibri" w:cs="Times New Roman"/>
        </w:rPr>
        <w:t>retention rates in Georgia of recent Georgia high school graduates</w:t>
      </w:r>
      <w:r w:rsidR="005046C9">
        <w:rPr>
          <w:rFonts w:eastAsia="Calibri" w:cs="Times New Roman"/>
        </w:rPr>
        <w:t xml:space="preserve">. </w:t>
      </w:r>
      <w:r w:rsidR="00674EFE">
        <w:rPr>
          <w:rFonts w:eastAsia="Calibri" w:cs="Times New Roman"/>
        </w:rPr>
        <w:t>However, t</w:t>
      </w:r>
      <w:r>
        <w:rPr>
          <w:rFonts w:eastAsia="Calibri" w:cs="Times New Roman"/>
        </w:rPr>
        <w:t>hese results are not causal inferences</w:t>
      </w:r>
      <w:r w:rsidR="000A3DAD">
        <w:rPr>
          <w:rFonts w:eastAsia="Calibri" w:cs="Times New Roman"/>
        </w:rPr>
        <w:t xml:space="preserve"> and do not control for differences in economic conditions faced by the two cohorts</w:t>
      </w:r>
      <w:r w:rsidR="005046C9">
        <w:rPr>
          <w:rFonts w:eastAsia="Calibri" w:cs="Times New Roman"/>
        </w:rPr>
        <w:t xml:space="preserve">. </w:t>
      </w:r>
      <w:r w:rsidR="00674EFE">
        <w:rPr>
          <w:rFonts w:eastAsia="Calibri" w:cs="Times New Roman"/>
        </w:rPr>
        <w:t>Thus, w</w:t>
      </w:r>
      <w:r w:rsidR="0016336C">
        <w:rPr>
          <w:rFonts w:eastAsia="Calibri" w:cs="Times New Roman"/>
        </w:rPr>
        <w:t>e next consider differences in retention based on the likelihood that a student would receive HOPE</w:t>
      </w:r>
      <w:r w:rsidR="002A5A32">
        <w:rPr>
          <w:rFonts w:eastAsia="Calibri" w:cs="Times New Roman"/>
        </w:rPr>
        <w:t>.</w:t>
      </w:r>
    </w:p>
    <w:p w:rsidR="00D02353" w:rsidRDefault="00D02353" w:rsidP="001F1B6E">
      <w:pPr>
        <w:spacing w:after="0" w:line="480" w:lineRule="auto"/>
        <w:ind w:firstLine="720"/>
        <w:rPr>
          <w:rFonts w:eastAsia="Calibri" w:cs="Times New Roman"/>
        </w:rPr>
      </w:pPr>
    </w:p>
    <w:p w:rsidR="005C4140" w:rsidRPr="000B23CD" w:rsidRDefault="005C4140" w:rsidP="000B23CD">
      <w:pPr>
        <w:spacing w:after="0" w:line="480" w:lineRule="auto"/>
        <w:rPr>
          <w:rFonts w:eastAsia="Calibri" w:cs="Times New Roman"/>
          <w:i/>
        </w:rPr>
      </w:pPr>
      <w:r w:rsidRPr="000B23CD">
        <w:rPr>
          <w:rFonts w:eastAsia="Calibri" w:cs="Times New Roman"/>
          <w:i/>
        </w:rPr>
        <w:t>DD Effects Based on Predicted HOPE</w:t>
      </w:r>
    </w:p>
    <w:p w:rsidR="003E4678" w:rsidRDefault="00DC7128" w:rsidP="003E4678">
      <w:pPr>
        <w:spacing w:after="0" w:line="480" w:lineRule="auto"/>
        <w:ind w:firstLine="720"/>
        <w:rPr>
          <w:rFonts w:eastAsia="Calibri" w:cs="Times New Roman"/>
        </w:rPr>
      </w:pPr>
      <w:r>
        <w:t xml:space="preserve">Instead of </w:t>
      </w:r>
      <w:r w:rsidR="000E5C26">
        <w:t>considering the</w:t>
      </w:r>
      <w:r>
        <w:t xml:space="preserve"> </w:t>
      </w:r>
      <w:r w:rsidR="00211354">
        <w:t>differences in average retention rates</w:t>
      </w:r>
      <w:r>
        <w:t xml:space="preserve"> across </w:t>
      </w:r>
      <w:r w:rsidR="00B073C9">
        <w:t xml:space="preserve">USG </w:t>
      </w:r>
      <w:r>
        <w:t xml:space="preserve">cohorts, </w:t>
      </w:r>
      <w:r w:rsidR="000E5C26">
        <w:t>an alternative</w:t>
      </w:r>
      <w:r w:rsidR="003E4678">
        <w:t xml:space="preserve"> approach to examin</w:t>
      </w:r>
      <w:r w:rsidR="000E5C26">
        <w:t>ing</w:t>
      </w:r>
      <w:r w:rsidR="003E4678">
        <w:t xml:space="preserve"> the effects of HOPE on retention in Georgia would be to use </w:t>
      </w:r>
      <w:r w:rsidR="003E4678">
        <w:lastRenderedPageBreak/>
        <w:t>the high school GPA in the USG data to predict HOPE eligibility for the pre-HOPE cohorts</w:t>
      </w:r>
      <w:r w:rsidR="005046C9">
        <w:t xml:space="preserve">. </w:t>
      </w:r>
      <w:r w:rsidR="003E4678">
        <w:t>However, as discussed above</w:t>
      </w:r>
      <w:r w:rsidR="00582FA6">
        <w:t>,</w:t>
      </w:r>
      <w:r w:rsidR="003E4678">
        <w:t xml:space="preserve"> the USG data report the core GPA while HOPE eligibility was based on total GPA which is not available for the pre-HOPE cohorts</w:t>
      </w:r>
      <w:r w:rsidR="005046C9">
        <w:t xml:space="preserve">. </w:t>
      </w:r>
      <w:r w:rsidR="008A6212">
        <w:t>However, w</w:t>
      </w:r>
      <w:r w:rsidR="003E4678">
        <w:t>e c</w:t>
      </w:r>
      <w:r w:rsidR="00211354">
        <w:t>an</w:t>
      </w:r>
      <w:r w:rsidR="003E4678">
        <w:t xml:space="preserve"> estimate the probability of HOPE eligibility for the pre-HOPE cohorts using the core GPA and the relationship between core GPA and HOPE receipt for the post-HOPE cohorts</w:t>
      </w:r>
      <w:r w:rsidR="005046C9">
        <w:t xml:space="preserve">. </w:t>
      </w:r>
      <w:r w:rsidR="003E4678">
        <w:t>However, average GPAs rose over the period</w:t>
      </w:r>
      <w:r w:rsidR="000E5C26">
        <w:t>,</w:t>
      </w:r>
      <w:r w:rsidR="003E4678">
        <w:t xml:space="preserve"> and if this increase was the result of grade inflation, estimat</w:t>
      </w:r>
      <w:r w:rsidR="000E5C26">
        <w:t>ing</w:t>
      </w:r>
      <w:r w:rsidR="003E4678">
        <w:t xml:space="preserve"> the probability of HOPE eligibility for the pre-HOPE cohorts using high school core GPA</w:t>
      </w:r>
      <w:r w:rsidR="000E5C26">
        <w:t xml:space="preserve"> will result in biased estimates</w:t>
      </w:r>
      <w:r w:rsidR="005046C9">
        <w:t xml:space="preserve">. </w:t>
      </w:r>
      <w:r w:rsidR="008A6422">
        <w:t>In particular, grade inflation will reduce the estimated probability that a student of given quality will be HOPE eligible in 1990-1991</w:t>
      </w:r>
      <w:r w:rsidR="005046C9">
        <w:t xml:space="preserve">. </w:t>
      </w:r>
      <w:r w:rsidR="003E4678">
        <w:rPr>
          <w:rFonts w:eastAsia="Calibri" w:cs="Times New Roman"/>
        </w:rPr>
        <w:t>Henry and Rubenstein (2002) suggest that the relationship between high school GPA and SAT scores was stable before and after HOPE was established and that HOPE did not lead to grade inflation, but they only examine a small portion of the GPA distribution</w:t>
      </w:r>
      <w:r w:rsidR="005046C9">
        <w:rPr>
          <w:rFonts w:eastAsia="Calibri" w:cs="Times New Roman"/>
        </w:rPr>
        <w:t xml:space="preserve">. </w:t>
      </w:r>
      <w:r w:rsidR="003E4678">
        <w:rPr>
          <w:rFonts w:eastAsia="Calibri" w:cs="Times New Roman"/>
        </w:rPr>
        <w:t>We consider post-HOPE grade inflation more generally by examining changes in average SAT scores by GPA level (rounded to one decimal) before and after HOPE for recent Georgia high school graduates enrolled in the USG</w:t>
      </w:r>
      <w:r w:rsidR="005046C9">
        <w:rPr>
          <w:rFonts w:eastAsia="Calibri" w:cs="Times New Roman"/>
        </w:rPr>
        <w:t xml:space="preserve">. </w:t>
      </w:r>
      <w:r w:rsidR="003E4678">
        <w:rPr>
          <w:rFonts w:eastAsia="Calibri" w:cs="Times New Roman"/>
        </w:rPr>
        <w:t xml:space="preserve">Results are reported in Table </w:t>
      </w:r>
      <w:r w:rsidR="00425D38">
        <w:rPr>
          <w:rFonts w:eastAsia="Calibri" w:cs="Times New Roman"/>
        </w:rPr>
        <w:t>3</w:t>
      </w:r>
      <w:r w:rsidR="005046C9">
        <w:rPr>
          <w:rFonts w:eastAsia="Calibri" w:cs="Times New Roman"/>
        </w:rPr>
        <w:t xml:space="preserve">. </w:t>
      </w:r>
    </w:p>
    <w:p w:rsidR="003E4678" w:rsidRDefault="003E4678" w:rsidP="003E4678">
      <w:pPr>
        <w:spacing w:after="0" w:line="480" w:lineRule="auto"/>
        <w:ind w:firstLine="720"/>
        <w:rPr>
          <w:rFonts w:eastAsia="Calibri" w:cs="Times New Roman"/>
        </w:rPr>
      </w:pPr>
      <w:r>
        <w:rPr>
          <w:rFonts w:eastAsia="Calibri" w:cs="Times New Roman"/>
        </w:rPr>
        <w:t xml:space="preserve">The results in Table </w:t>
      </w:r>
      <w:r w:rsidR="00425D38">
        <w:rPr>
          <w:rFonts w:eastAsia="Calibri" w:cs="Times New Roman"/>
        </w:rPr>
        <w:t>3</w:t>
      </w:r>
      <w:r>
        <w:rPr>
          <w:rFonts w:eastAsia="Calibri" w:cs="Times New Roman"/>
        </w:rPr>
        <w:t xml:space="preserve"> suggest that although average SAT scores increased after HOPE for the total population of recent Georgia high school graduates enrolled in the USG, average SAT scores were statistically significantly lower within most GPA levels for the post-HOPE cohorts</w:t>
      </w:r>
      <w:r w:rsidR="005046C9">
        <w:rPr>
          <w:rFonts w:eastAsia="Calibri" w:cs="Times New Roman"/>
        </w:rPr>
        <w:t xml:space="preserve">. </w:t>
      </w:r>
      <w:r>
        <w:rPr>
          <w:rFonts w:eastAsia="Calibri" w:cs="Times New Roman"/>
        </w:rPr>
        <w:t>This suggests that part of the increase in high school GPAs post-HOPE was due to grade inflation.</w:t>
      </w:r>
      <w:r w:rsidR="00582FA6">
        <w:rPr>
          <w:rStyle w:val="FootnoteReference"/>
          <w:rFonts w:eastAsia="Calibri" w:cs="Times New Roman"/>
        </w:rPr>
        <w:footnoteReference w:id="23"/>
      </w:r>
      <w:r w:rsidR="00567F46">
        <w:rPr>
          <w:rFonts w:eastAsia="Calibri" w:cs="Times New Roman"/>
        </w:rPr>
        <w:t xml:space="preserve"> </w:t>
      </w:r>
      <w:r>
        <w:rPr>
          <w:rFonts w:eastAsia="Calibri" w:cs="Times New Roman"/>
        </w:rPr>
        <w:t>The major exception is for students with a 4.0 GPA, who experienced a very large and significant increase in mean SAT scores of 64 points</w:t>
      </w:r>
      <w:r w:rsidR="005046C9">
        <w:rPr>
          <w:rFonts w:eastAsia="Calibri" w:cs="Times New Roman"/>
        </w:rPr>
        <w:t xml:space="preserve">. </w:t>
      </w:r>
      <w:r>
        <w:rPr>
          <w:rFonts w:eastAsia="Calibri" w:cs="Times New Roman"/>
        </w:rPr>
        <w:t>This considerable increase in student quality among the very best students suggests that HOPE did help keep more of the best and brightest in the state for college</w:t>
      </w:r>
      <w:r w:rsidR="005046C9">
        <w:rPr>
          <w:rFonts w:eastAsia="Calibri" w:cs="Times New Roman"/>
        </w:rPr>
        <w:t xml:space="preserve">. </w:t>
      </w:r>
    </w:p>
    <w:p w:rsidR="00CD4505" w:rsidRDefault="00CD4505" w:rsidP="003E4678">
      <w:pPr>
        <w:spacing w:after="0" w:line="480" w:lineRule="auto"/>
        <w:ind w:firstLine="720"/>
        <w:rPr>
          <w:rFonts w:eastAsia="Calibri" w:cs="Times New Roman"/>
        </w:rPr>
      </w:pPr>
      <w:r>
        <w:rPr>
          <w:rFonts w:eastAsia="Calibri" w:cs="Times New Roman"/>
        </w:rPr>
        <w:lastRenderedPageBreak/>
        <w:t>A</w:t>
      </w:r>
      <w:r w:rsidR="00A54554">
        <w:rPr>
          <w:rFonts w:eastAsia="Calibri" w:cs="Times New Roman"/>
        </w:rPr>
        <w:t>nother</w:t>
      </w:r>
      <w:r>
        <w:rPr>
          <w:rFonts w:eastAsia="Calibri" w:cs="Times New Roman"/>
        </w:rPr>
        <w:t xml:space="preserve"> approach to examine grade inflation is to look at the distribution of high school GPAs before and after HOPE</w:t>
      </w:r>
      <w:r w:rsidR="005046C9">
        <w:rPr>
          <w:rFonts w:eastAsia="Calibri" w:cs="Times New Roman"/>
        </w:rPr>
        <w:t xml:space="preserve">. </w:t>
      </w:r>
      <w:r>
        <w:rPr>
          <w:rFonts w:eastAsia="Calibri" w:cs="Times New Roman"/>
        </w:rPr>
        <w:t xml:space="preserve">Table </w:t>
      </w:r>
      <w:r w:rsidR="00425D38">
        <w:rPr>
          <w:rFonts w:eastAsia="Calibri" w:cs="Times New Roman"/>
        </w:rPr>
        <w:t>4</w:t>
      </w:r>
      <w:r>
        <w:rPr>
          <w:rFonts w:eastAsia="Calibri" w:cs="Times New Roman"/>
        </w:rPr>
        <w:t xml:space="preserve"> reports the decile cutoffs for high school GPAs for the pre- and post-HOPE USG cohorts</w:t>
      </w:r>
      <w:r w:rsidR="005046C9">
        <w:rPr>
          <w:rFonts w:eastAsia="Calibri" w:cs="Times New Roman"/>
        </w:rPr>
        <w:t xml:space="preserve">. </w:t>
      </w:r>
      <w:r>
        <w:rPr>
          <w:rFonts w:eastAsia="Calibri" w:cs="Times New Roman"/>
        </w:rPr>
        <w:t>Between 1990-91 and 1995-96, the GPA increased at each decile cutoff</w:t>
      </w:r>
      <w:r w:rsidR="005046C9">
        <w:rPr>
          <w:rFonts w:eastAsia="Calibri" w:cs="Times New Roman"/>
        </w:rPr>
        <w:t xml:space="preserve">. </w:t>
      </w:r>
      <w:r>
        <w:rPr>
          <w:rFonts w:eastAsia="Calibri" w:cs="Times New Roman"/>
        </w:rPr>
        <w:t xml:space="preserve">Changes over time are smallest at the </w:t>
      </w:r>
      <w:r w:rsidR="00FE3BA4">
        <w:rPr>
          <w:rFonts w:eastAsia="Calibri" w:cs="Times New Roman"/>
        </w:rPr>
        <w:t>top and bottom decile cutoffs, with differences of 0.15 and 0.16, respectively</w:t>
      </w:r>
      <w:r w:rsidR="005046C9">
        <w:rPr>
          <w:rFonts w:eastAsia="Calibri" w:cs="Times New Roman"/>
        </w:rPr>
        <w:t xml:space="preserve">. </w:t>
      </w:r>
      <w:r w:rsidR="00FE3BA4">
        <w:rPr>
          <w:rFonts w:eastAsia="Calibri" w:cs="Times New Roman"/>
        </w:rPr>
        <w:t>Changes over time are largest in the middle of the distribution, with a 0.30 increase in median GPA after HOPE</w:t>
      </w:r>
      <w:r w:rsidR="005046C9">
        <w:rPr>
          <w:rFonts w:eastAsia="Calibri" w:cs="Times New Roman"/>
        </w:rPr>
        <w:t xml:space="preserve">. </w:t>
      </w:r>
      <w:r w:rsidR="00FE3BA4">
        <w:rPr>
          <w:rFonts w:eastAsia="Calibri" w:cs="Times New Roman"/>
        </w:rPr>
        <w:t>High school GPAs increased throughout the distribution providing additional evidence of grade inflation.</w:t>
      </w:r>
    </w:p>
    <w:p w:rsidR="006551DF" w:rsidRDefault="000E5C26" w:rsidP="006551DF">
      <w:pPr>
        <w:pStyle w:val="xmsolistparagraph"/>
        <w:spacing w:before="0" w:beforeAutospacing="0" w:after="0" w:afterAutospacing="0" w:line="480" w:lineRule="auto"/>
        <w:ind w:firstLine="720"/>
      </w:pPr>
      <w:r>
        <w:rPr>
          <w:rFonts w:eastAsia="Calibri"/>
        </w:rPr>
        <w:t>Despite the</w:t>
      </w:r>
      <w:r w:rsidR="00CD4505">
        <w:rPr>
          <w:rFonts w:eastAsia="Calibri"/>
        </w:rPr>
        <w:t xml:space="preserve"> evidence of grade inflation</w:t>
      </w:r>
      <w:r>
        <w:rPr>
          <w:rFonts w:eastAsia="Calibri"/>
        </w:rPr>
        <w:t xml:space="preserve">, </w:t>
      </w:r>
      <w:r w:rsidR="008A6422">
        <w:rPr>
          <w:rFonts w:eastAsia="Calibri"/>
        </w:rPr>
        <w:t xml:space="preserve">and </w:t>
      </w:r>
      <w:r>
        <w:rPr>
          <w:rFonts w:eastAsia="Calibri"/>
        </w:rPr>
        <w:t>since</w:t>
      </w:r>
      <w:r w:rsidR="00582FA6">
        <w:rPr>
          <w:rFonts w:eastAsia="Calibri"/>
        </w:rPr>
        <w:t xml:space="preserve"> </w:t>
      </w:r>
      <w:r w:rsidR="00A5740E" w:rsidRPr="00A5740E">
        <w:rPr>
          <w:rFonts w:eastAsia="Calibri"/>
        </w:rPr>
        <w:t>we do not have the appropriate GPA to determine HOPE eligibility in 1990-1991</w:t>
      </w:r>
      <w:r w:rsidR="008A6422">
        <w:rPr>
          <w:rFonts w:eastAsia="Calibri"/>
        </w:rPr>
        <w:t>,</w:t>
      </w:r>
      <w:r w:rsidR="00A5740E" w:rsidRPr="00A5740E">
        <w:rPr>
          <w:rFonts w:eastAsia="Calibri"/>
        </w:rPr>
        <w:t xml:space="preserve"> we use available</w:t>
      </w:r>
      <w:r w:rsidR="008A6422">
        <w:rPr>
          <w:rFonts w:eastAsia="Calibri"/>
        </w:rPr>
        <w:t xml:space="preserve"> post-HOPE</w:t>
      </w:r>
      <w:r w:rsidR="00A5740E" w:rsidRPr="00A5740E">
        <w:rPr>
          <w:rFonts w:eastAsia="Calibri"/>
        </w:rPr>
        <w:t xml:space="preserve"> information to predict whether a student in 1990-1991 would have been eligible for HOPE</w:t>
      </w:r>
      <w:r w:rsidR="005046C9">
        <w:rPr>
          <w:rFonts w:eastAsia="Calibri"/>
        </w:rPr>
        <w:t xml:space="preserve">. </w:t>
      </w:r>
      <w:r>
        <w:rPr>
          <w:rFonts w:eastAsia="Calibri"/>
        </w:rPr>
        <w:t xml:space="preserve">We </w:t>
      </w:r>
      <w:r w:rsidR="00A5740E" w:rsidRPr="00A5740E">
        <w:rPr>
          <w:rFonts w:eastAsia="Calibri"/>
        </w:rPr>
        <w:t>then</w:t>
      </w:r>
      <w:r>
        <w:rPr>
          <w:rFonts w:eastAsia="Calibri"/>
        </w:rPr>
        <w:t xml:space="preserve"> use the predicted HOPE eligibility to</w:t>
      </w:r>
      <w:r w:rsidR="00A5740E" w:rsidRPr="00A5740E">
        <w:rPr>
          <w:rFonts w:eastAsia="Calibri"/>
        </w:rPr>
        <w:t xml:space="preserve"> estimate a difference</w:t>
      </w:r>
      <w:r w:rsidR="00A54554">
        <w:rPr>
          <w:rFonts w:eastAsia="Calibri"/>
        </w:rPr>
        <w:t xml:space="preserve"> </w:t>
      </w:r>
      <w:r w:rsidR="00A5740E" w:rsidRPr="00A5740E">
        <w:rPr>
          <w:rFonts w:eastAsia="Calibri"/>
        </w:rPr>
        <w:t>in</w:t>
      </w:r>
      <w:r w:rsidR="00A54554">
        <w:rPr>
          <w:rFonts w:eastAsia="Calibri"/>
        </w:rPr>
        <w:t xml:space="preserve"> </w:t>
      </w:r>
      <w:r w:rsidR="00A5740E" w:rsidRPr="00A5740E">
        <w:rPr>
          <w:rFonts w:eastAsia="Calibri"/>
        </w:rPr>
        <w:t>difference</w:t>
      </w:r>
      <w:r w:rsidR="00A54554">
        <w:rPr>
          <w:rFonts w:eastAsia="Calibri"/>
        </w:rPr>
        <w:t>s</w:t>
      </w:r>
      <w:r w:rsidR="00A5740E" w:rsidRPr="00A5740E">
        <w:rPr>
          <w:rFonts w:eastAsia="Calibri"/>
        </w:rPr>
        <w:t xml:space="preserve"> regression</w:t>
      </w:r>
      <w:r w:rsidR="005046C9">
        <w:rPr>
          <w:rFonts w:eastAsia="Calibri"/>
        </w:rPr>
        <w:t xml:space="preserve">. </w:t>
      </w:r>
      <w:r w:rsidR="00A5740E">
        <w:rPr>
          <w:rFonts w:eastAsia="Calibri"/>
        </w:rPr>
        <w:t xml:space="preserve">We first estimate </w:t>
      </w:r>
      <w:r w:rsidR="00A5740E" w:rsidRPr="00A5740E">
        <w:t>Linear Probability Models (LPM) based on the 1995 and 1996 cohorts using four different specifications.</w:t>
      </w:r>
      <w:r w:rsidR="00E52625">
        <w:rPr>
          <w:rStyle w:val="FootnoteReference"/>
        </w:rPr>
        <w:footnoteReference w:id="24"/>
      </w:r>
      <w:r w:rsidR="00567F46">
        <w:t xml:space="preserve"> </w:t>
      </w:r>
      <w:r w:rsidR="000640C3">
        <w:t xml:space="preserve">The dependent variable is </w:t>
      </w:r>
      <w:r w:rsidR="00983CBB">
        <w:t xml:space="preserve">the freshman HOPE dummy, that is, </w:t>
      </w:r>
      <w:r w:rsidR="000640C3">
        <w:t>whether the student received a HOPE Scholarship</w:t>
      </w:r>
      <w:r w:rsidR="00983CBB">
        <w:t xml:space="preserve"> as a freshman</w:t>
      </w:r>
      <w:r w:rsidR="000640C3">
        <w:t xml:space="preserve">. </w:t>
      </w:r>
      <w:r w:rsidR="00A5740E" w:rsidRPr="00A5740E">
        <w:t>The first specification includes race and gender dummies, 437 high school dummies, and 19 SAT score group</w:t>
      </w:r>
      <w:r w:rsidR="00820E43">
        <w:t xml:space="preserve"> dummie</w:t>
      </w:r>
      <w:r w:rsidR="00A5740E" w:rsidRPr="00A5740E">
        <w:t>s</w:t>
      </w:r>
      <w:r w:rsidR="005046C9">
        <w:t xml:space="preserve">. </w:t>
      </w:r>
      <w:r w:rsidR="00A5740E" w:rsidRPr="00A5740E">
        <w:t xml:space="preserve">The second </w:t>
      </w:r>
      <w:r w:rsidR="000640C3">
        <w:t>specification</w:t>
      </w:r>
      <w:r w:rsidR="00A5740E" w:rsidRPr="00A5740E">
        <w:t xml:space="preserve"> adds 29 high school GPA group dummies; the third </w:t>
      </w:r>
      <w:r w:rsidR="000640C3">
        <w:t>specification</w:t>
      </w:r>
      <w:r w:rsidR="00A5740E" w:rsidRPr="00A5740E">
        <w:t xml:space="preserve"> adds 33 USG institution dummies but excludes the GPA dummies, and the fourth </w:t>
      </w:r>
      <w:r w:rsidR="000640C3">
        <w:t>specification</w:t>
      </w:r>
      <w:r w:rsidR="00A5740E" w:rsidRPr="00A5740E">
        <w:t xml:space="preserve"> includes all of the predictors</w:t>
      </w:r>
      <w:r w:rsidR="005046C9">
        <w:t xml:space="preserve">. </w:t>
      </w:r>
      <w:r w:rsidR="00A54554">
        <w:t xml:space="preserve">GPAs are potentially influenced by grade inflation and HOPE may have affected which institutions students chose to attend, so </w:t>
      </w:r>
      <w:r w:rsidR="0073734A">
        <w:t xml:space="preserve">the first specification is our preferred </w:t>
      </w:r>
      <w:r w:rsidR="00746ABB">
        <w:t>one</w:t>
      </w:r>
      <w:r w:rsidR="00A54554">
        <w:t>.</w:t>
      </w:r>
      <w:r w:rsidR="00196CF6">
        <w:rPr>
          <w:rStyle w:val="FootnoteReference"/>
        </w:rPr>
        <w:footnoteReference w:id="25"/>
      </w:r>
    </w:p>
    <w:p w:rsidR="006551DF" w:rsidRDefault="000640C3" w:rsidP="006551DF">
      <w:pPr>
        <w:pStyle w:val="xmsolistparagraph"/>
        <w:spacing w:before="0" w:beforeAutospacing="0" w:after="0" w:afterAutospacing="0" w:line="480" w:lineRule="auto"/>
        <w:ind w:firstLine="720"/>
      </w:pPr>
      <w:r>
        <w:lastRenderedPageBreak/>
        <w:t>The resulting equation</w:t>
      </w:r>
      <w:r w:rsidR="00A93BF9">
        <w:t>s are</w:t>
      </w:r>
      <w:r>
        <w:t xml:space="preserve"> used to</w:t>
      </w:r>
      <w:r w:rsidR="00A5740E" w:rsidRPr="000640C3">
        <w:t xml:space="preserve"> predict HOPE for both the pre- and post-HOPE cohorts</w:t>
      </w:r>
      <w:r w:rsidR="005046C9">
        <w:t xml:space="preserve">. </w:t>
      </w:r>
      <w:r w:rsidR="00A93BF9">
        <w:t xml:space="preserve">We then </w:t>
      </w:r>
      <w:r w:rsidR="00A5740E" w:rsidRPr="000640C3">
        <w:t xml:space="preserve">estimate </w:t>
      </w:r>
      <w:r w:rsidR="00582FA6">
        <w:t>“</w:t>
      </w:r>
      <w:r w:rsidR="00A93BF9">
        <w:t>difference</w:t>
      </w:r>
      <w:r w:rsidR="0070569B">
        <w:t xml:space="preserve"> </w:t>
      </w:r>
      <w:r w:rsidR="00A93BF9">
        <w:t>in</w:t>
      </w:r>
      <w:r w:rsidR="0070569B">
        <w:t xml:space="preserve"> </w:t>
      </w:r>
      <w:r w:rsidR="00A93BF9">
        <w:t>difference</w:t>
      </w:r>
      <w:r w:rsidR="0070569B">
        <w:t>s</w:t>
      </w:r>
      <w:r w:rsidR="00582FA6">
        <w:t>”</w:t>
      </w:r>
      <w:r w:rsidR="00A5740E" w:rsidRPr="000640C3">
        <w:t xml:space="preserve"> regressions of the form</w:t>
      </w:r>
      <w:r w:rsidR="00582FA6">
        <w:rPr>
          <w:rStyle w:val="FootnoteReference"/>
        </w:rPr>
        <w:footnoteReference w:id="26"/>
      </w:r>
      <w:r w:rsidR="00A5740E" w:rsidRPr="000640C3">
        <w:t>:</w:t>
      </w:r>
    </w:p>
    <w:p w:rsidR="006551DF" w:rsidRDefault="006551DF" w:rsidP="006551DF">
      <w:pPr>
        <w:pStyle w:val="xmsolistparagraph"/>
        <w:spacing w:before="0" w:beforeAutospacing="0" w:after="0" w:afterAutospacing="0" w:line="480" w:lineRule="auto"/>
      </w:pPr>
    </w:p>
    <w:p w:rsidR="006551DF" w:rsidRDefault="00A93BF9" w:rsidP="006551DF">
      <w:pPr>
        <w:pStyle w:val="xmsolistparagraph"/>
        <w:spacing w:before="0" w:beforeAutospacing="0" w:after="0" w:afterAutospacing="0" w:line="480" w:lineRule="auto"/>
        <w:ind w:left="1440"/>
      </w:pPr>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acc>
          <m:accPr>
            <m:ctrlPr>
              <w:rPr>
                <w:rFonts w:ascii="Cambria Math" w:hAnsi="Cambria Math"/>
                <w:i/>
              </w:rPr>
            </m:ctrlPr>
          </m:accPr>
          <m:e>
            <m:r>
              <w:rPr>
                <w:rFonts w:ascii="Cambria Math" w:hAnsi="Cambria Math"/>
              </w:rPr>
              <m:t>HOPE</m:t>
            </m:r>
          </m:e>
        </m:ac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AFTER+</m:t>
        </m:r>
        <m:sSub>
          <m:sSubPr>
            <m:ctrlPr>
              <w:rPr>
                <w:rFonts w:ascii="Cambria Math" w:hAnsi="Cambria Math"/>
                <w:i/>
              </w:rPr>
            </m:ctrlPr>
          </m:sSubPr>
          <m:e>
            <m:r>
              <w:rPr>
                <w:rFonts w:ascii="Cambria Math" w:hAnsi="Cambria Math"/>
              </w:rPr>
              <m:t>β</m:t>
            </m:r>
          </m:e>
          <m:sub>
            <m:r>
              <w:rPr>
                <w:rFonts w:ascii="Cambria Math" w:hAnsi="Cambria Math"/>
              </w:rPr>
              <m:t>3</m:t>
            </m:r>
          </m:sub>
        </m:sSub>
        <m:acc>
          <m:accPr>
            <m:ctrlPr>
              <w:rPr>
                <w:rFonts w:ascii="Cambria Math" w:hAnsi="Cambria Math"/>
                <w:i/>
              </w:rPr>
            </m:ctrlPr>
          </m:accPr>
          <m:e>
            <m:r>
              <w:rPr>
                <w:rFonts w:ascii="Cambria Math" w:hAnsi="Cambria Math"/>
              </w:rPr>
              <m:t>HOPE</m:t>
            </m:r>
          </m:e>
        </m:acc>
        <m:r>
          <w:rPr>
            <w:rFonts w:ascii="Cambria Math" w:hAnsi="Cambria Math"/>
          </w:rPr>
          <m:t>×AFTER+ε</m:t>
        </m:r>
      </m:oMath>
      <w:r w:rsidR="00A5740E" w:rsidRPr="00A5740E">
        <w:t xml:space="preserve">, </w:t>
      </w:r>
    </w:p>
    <w:p w:rsidR="006551DF" w:rsidRDefault="006551DF" w:rsidP="006551DF">
      <w:pPr>
        <w:pStyle w:val="xmsolistparagraph"/>
        <w:spacing w:before="0" w:beforeAutospacing="0" w:after="0" w:afterAutospacing="0" w:line="480" w:lineRule="auto"/>
      </w:pPr>
    </w:p>
    <w:p w:rsidR="006551DF" w:rsidRDefault="00A5740E" w:rsidP="006551DF">
      <w:pPr>
        <w:pStyle w:val="xmsolistparagraph"/>
        <w:spacing w:before="0" w:beforeAutospacing="0" w:after="0" w:afterAutospacing="0" w:line="480" w:lineRule="auto"/>
      </w:pPr>
      <w:r w:rsidRPr="00A5740E">
        <w:t xml:space="preserve">where Y measures employment in Georgia several years after high school, </w:t>
      </w:r>
      <m:oMath>
        <m:acc>
          <m:accPr>
            <m:ctrlPr>
              <w:rPr>
                <w:rFonts w:ascii="Cambria Math" w:hAnsi="Cambria Math"/>
                <w:i/>
              </w:rPr>
            </m:ctrlPr>
          </m:accPr>
          <m:e>
            <m:r>
              <w:rPr>
                <w:rFonts w:ascii="Cambria Math" w:hAnsi="Cambria Math"/>
              </w:rPr>
              <m:t>HOPE</m:t>
            </m:r>
          </m:e>
        </m:acc>
      </m:oMath>
      <w:r w:rsidRPr="00A5740E">
        <w:t xml:space="preserve"> is the predicted probability of </w:t>
      </w:r>
      <w:r w:rsidR="00A93BF9">
        <w:t xml:space="preserve">receiving a </w:t>
      </w:r>
      <w:r w:rsidRPr="00A5740E">
        <w:t xml:space="preserve">HOPE </w:t>
      </w:r>
      <w:r w:rsidR="00A93BF9">
        <w:t>Scholarship</w:t>
      </w:r>
      <w:r w:rsidRPr="00A5740E">
        <w:t xml:space="preserve">, </w:t>
      </w:r>
      <m:oMath>
        <m:r>
          <w:rPr>
            <w:rFonts w:ascii="Cambria Math" w:hAnsi="Cambria Math"/>
          </w:rPr>
          <m:t>AFTER</m:t>
        </m:r>
      </m:oMath>
      <w:r w:rsidRPr="00A5740E">
        <w:t xml:space="preserve"> is an indicator variable equal to one for the post-HOPE USG cohort, and </w:t>
      </w:r>
      <m:oMath>
        <m:acc>
          <m:accPr>
            <m:ctrlPr>
              <w:rPr>
                <w:rFonts w:ascii="Cambria Math" w:hAnsi="Cambria Math"/>
                <w:i/>
              </w:rPr>
            </m:ctrlPr>
          </m:accPr>
          <m:e>
            <m:r>
              <w:rPr>
                <w:rFonts w:ascii="Cambria Math" w:hAnsi="Cambria Math"/>
              </w:rPr>
              <m:t>HOPE</m:t>
            </m:r>
          </m:e>
        </m:acc>
        <m:r>
          <w:rPr>
            <w:rFonts w:ascii="Cambria Math" w:hAnsi="Cambria Math"/>
          </w:rPr>
          <m:t>×AFTER</m:t>
        </m:r>
      </m:oMath>
      <w:r w:rsidRPr="00A5740E">
        <w:t xml:space="preserve"> is an interaction term</w:t>
      </w:r>
      <w:r w:rsidR="005046C9">
        <w:t xml:space="preserve">. </w:t>
      </w:r>
      <w:r w:rsidR="00FC2B00">
        <w:t xml:space="preserve">The </w:t>
      </w:r>
      <m:oMath>
        <m:acc>
          <m:accPr>
            <m:ctrlPr>
              <w:rPr>
                <w:rFonts w:ascii="Cambria Math" w:hAnsi="Cambria Math"/>
                <w:i/>
              </w:rPr>
            </m:ctrlPr>
          </m:accPr>
          <m:e>
            <m:r>
              <w:rPr>
                <w:rFonts w:ascii="Cambria Math" w:hAnsi="Cambria Math"/>
              </w:rPr>
              <m:t>HOPE</m:t>
            </m:r>
          </m:e>
        </m:acc>
      </m:oMath>
      <w:r w:rsidR="00FC2B00">
        <w:t xml:space="preserve"> variable controls for the</w:t>
      </w:r>
      <w:r w:rsidR="0053740C">
        <w:t xml:space="preserve"> common</w:t>
      </w:r>
      <w:r w:rsidR="00FC2B00">
        <w:t xml:space="preserve"> effect that the HOPE predictors have on </w:t>
      </w:r>
      <w:r w:rsidR="0053740C">
        <w:t xml:space="preserve">the likelihood of </w:t>
      </w:r>
      <w:r w:rsidR="00363AD4">
        <w:t>post-college</w:t>
      </w:r>
      <w:r w:rsidR="00B510F6">
        <w:t xml:space="preserve"> </w:t>
      </w:r>
      <w:r w:rsidR="00FC2B00">
        <w:t xml:space="preserve">employment </w:t>
      </w:r>
      <w:r w:rsidR="0053740C">
        <w:t>in Georgia</w:t>
      </w:r>
      <w:r w:rsidR="005046C9">
        <w:t xml:space="preserve">. </w:t>
      </w:r>
      <w:r w:rsidR="00FC2B00">
        <w:t xml:space="preserve">The </w:t>
      </w:r>
      <m:oMath>
        <m:r>
          <w:rPr>
            <w:rFonts w:ascii="Cambria Math" w:hAnsi="Cambria Math"/>
          </w:rPr>
          <m:t>AFTER</m:t>
        </m:r>
      </m:oMath>
      <w:r w:rsidR="00FC2B00">
        <w:t xml:space="preserve"> variable controls for overall differences in employment due to the different labor market conditions faced by the 1990-91 and 1995-96 cohorts</w:t>
      </w:r>
      <w:r w:rsidR="005046C9">
        <w:t xml:space="preserve">. </w:t>
      </w:r>
      <w:r w:rsidRPr="00A5740E">
        <w:t>The coefficient on the interaction term</w:t>
      </w:r>
      <w:proofErr w:type="gramStart"/>
      <w:r w:rsidRPr="00A5740E">
        <w:t xml:space="preserve">, </w:t>
      </w:r>
      <w:proofErr w:type="gramEnd"/>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Pr="00A5740E">
        <w:t>, is the parameter of interest</w:t>
      </w:r>
      <w:r w:rsidR="00A93BF9">
        <w:t xml:space="preserve"> since it</w:t>
      </w:r>
      <w:r w:rsidRPr="00A5740E">
        <w:t xml:space="preserve"> tells us the effect of HOPE on the </w:t>
      </w:r>
      <w:r w:rsidR="000D19C0">
        <w:t xml:space="preserve">post-college </w:t>
      </w:r>
      <w:r w:rsidR="00A93BF9">
        <w:t>retention</w:t>
      </w:r>
      <w:r w:rsidRPr="00A5740E">
        <w:t xml:space="preserve"> of HOPE eligible students</w:t>
      </w:r>
      <w:r w:rsidR="005046C9">
        <w:t xml:space="preserve">. </w:t>
      </w:r>
      <w:r w:rsidR="005018DE">
        <w:t xml:space="preserve">This procedure attempts to estimate the effects of HOPE on retention of students who have a high probability of receiving HOPE by using students from the same cohort but have a low probability of receiving HOPE as a comparison group. </w:t>
      </w:r>
      <w:r w:rsidRPr="00A5740E">
        <w:t xml:space="preserve">Results for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Pr="00A5740E">
        <w:t xml:space="preserve"> are reported in Table </w:t>
      </w:r>
      <w:r w:rsidR="00425D38">
        <w:t>5</w:t>
      </w:r>
      <w:r w:rsidR="005046C9">
        <w:t xml:space="preserve">. </w:t>
      </w:r>
      <w:r w:rsidR="00A93BF9">
        <w:t>It should be n</w:t>
      </w:r>
      <w:r w:rsidRPr="00A5740E">
        <w:t>ote</w:t>
      </w:r>
      <w:r w:rsidR="00A93BF9">
        <w:t>d</w:t>
      </w:r>
      <w:r w:rsidRPr="00A5740E">
        <w:t xml:space="preserve"> that </w:t>
      </w:r>
      <w:r w:rsidR="00A93BF9">
        <w:t xml:space="preserve">the </w:t>
      </w:r>
      <w:r w:rsidRPr="00A5740E">
        <w:t>standard errors are f</w:t>
      </w:r>
      <w:r w:rsidR="00A93BF9">
        <w:t>rom an</w:t>
      </w:r>
      <w:r w:rsidRPr="00A5740E">
        <w:t xml:space="preserve"> OLS </w:t>
      </w:r>
      <w:r w:rsidR="00A93BF9">
        <w:t xml:space="preserve">regression </w:t>
      </w:r>
      <w:r w:rsidRPr="00A5740E">
        <w:t xml:space="preserve">and </w:t>
      </w:r>
      <w:r w:rsidR="00A93BF9">
        <w:t xml:space="preserve">thus </w:t>
      </w:r>
      <w:r w:rsidRPr="00A5740E">
        <w:t>may be downwardly biased due to within group correlation</w:t>
      </w:r>
      <w:r w:rsidR="005046C9">
        <w:t xml:space="preserve">. </w:t>
      </w:r>
      <w:r w:rsidRPr="00A5740E">
        <w:t xml:space="preserve">Unfortunately, </w:t>
      </w:r>
      <w:r w:rsidR="00233502" w:rsidRPr="00233502">
        <w:t xml:space="preserve">robust inference procedures such as suggested by Conley and Taber (2011) are not </w:t>
      </w:r>
      <w:r w:rsidR="00233502">
        <w:t>available</w:t>
      </w:r>
      <w:r w:rsidR="00233502" w:rsidRPr="00233502">
        <w:t xml:space="preserve"> </w:t>
      </w:r>
      <w:r w:rsidR="0024121E">
        <w:t>because</w:t>
      </w:r>
      <w:r w:rsidR="00233502">
        <w:t xml:space="preserve"> </w:t>
      </w:r>
      <w:r w:rsidR="00233502" w:rsidRPr="00233502">
        <w:t>we have only one state and only four cohorts of incoming freshmen</w:t>
      </w:r>
      <w:r w:rsidR="005046C9">
        <w:t xml:space="preserve">. </w:t>
      </w:r>
    </w:p>
    <w:p w:rsidR="009A7CD7" w:rsidRDefault="00A93BF9" w:rsidP="00355300">
      <w:pPr>
        <w:pStyle w:val="xmsolistparagraph"/>
        <w:spacing w:before="0" w:beforeAutospacing="0" w:after="0" w:afterAutospacing="0" w:line="480" w:lineRule="auto"/>
        <w:ind w:firstLine="720"/>
      </w:pPr>
      <w:r>
        <w:t xml:space="preserve">As can be seen in Table </w:t>
      </w:r>
      <w:r w:rsidR="00425D38">
        <w:t>5</w:t>
      </w:r>
      <w:r>
        <w:t xml:space="preserv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E17F69">
        <w:t xml:space="preserve"> </w:t>
      </w:r>
      <w:r w:rsidR="00A5740E" w:rsidRPr="00A93BF9">
        <w:t xml:space="preserve">is </w:t>
      </w:r>
      <w:r w:rsidR="00E17F69">
        <w:t>negative in almost all cases, but generally not statistically significantly different from zero (based on OLS standard errors)</w:t>
      </w:r>
      <w:r w:rsidR="00827B9A">
        <w:t xml:space="preserve"> between four and seven years </w:t>
      </w:r>
      <w:r w:rsidR="00827B9A">
        <w:lastRenderedPageBreak/>
        <w:t>after high school</w:t>
      </w:r>
      <w:r w:rsidR="005046C9">
        <w:t xml:space="preserve">. </w:t>
      </w:r>
      <w:r w:rsidR="00E17F69">
        <w:t>However, as the number of years after high school increase</w:t>
      </w:r>
      <w:r w:rsidR="00792E81">
        <w:t>s</w:t>
      </w:r>
      <w:r w:rsidR="00E17F69">
        <w:t xml:space="preserve">, we do find a consistently negative </w:t>
      </w:r>
      <w:r w:rsidR="008A6422">
        <w:t xml:space="preserve">and statistically significant </w:t>
      </w:r>
      <w:r w:rsidR="00E17F69">
        <w:t xml:space="preserve">value </w:t>
      </w:r>
      <w:proofErr w:type="gramStart"/>
      <w:r w:rsidR="00E17F69">
        <w:t xml:space="preserve">for </w:t>
      </w:r>
      <w:proofErr w:type="gramEnd"/>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A5740E" w:rsidRPr="00A93BF9">
        <w:t xml:space="preserve">, suggesting that HOPE reduced retention </w:t>
      </w:r>
      <w:r w:rsidR="00792E81">
        <w:t xml:space="preserve">rates </w:t>
      </w:r>
      <w:r w:rsidR="00A5740E" w:rsidRPr="00A93BF9">
        <w:t>among those eligible for HOPE</w:t>
      </w:r>
      <w:r w:rsidR="005046C9">
        <w:t xml:space="preserve">. </w:t>
      </w:r>
      <w:r w:rsidR="00E17F69">
        <w:t>The magnitude</w:t>
      </w:r>
      <w:r w:rsidR="00846749">
        <w:t>s</w:t>
      </w:r>
      <w:r w:rsidR="00E17F69">
        <w:t xml:space="preserve"> of these effects</w:t>
      </w:r>
      <w:r w:rsidR="00846749">
        <w:t xml:space="preserve"> are usually largest for the specification that excludes GPA and institution dummies from the</w:t>
      </w:r>
      <w:r w:rsidR="00E17F69">
        <w:t xml:space="preserve"> </w:t>
      </w:r>
      <w:r w:rsidR="009F690B">
        <w:t>HOPE</w:t>
      </w:r>
      <w:r w:rsidR="00846749">
        <w:t xml:space="preserve"> probability equation</w:t>
      </w:r>
      <w:r w:rsidR="005018DE">
        <w:t>; coefficients were between -0.023 and -0.036 for the longer run estimates between eight and twelve years after high school. A</w:t>
      </w:r>
      <w:r w:rsidR="00846749">
        <w:t xml:space="preserve">dding </w:t>
      </w:r>
      <w:r w:rsidR="005018DE">
        <w:t xml:space="preserve">GPA and institution dummies as HOPE predictors </w:t>
      </w:r>
      <w:r w:rsidR="00846749">
        <w:t>does not greatly affect the results</w:t>
      </w:r>
      <w:r w:rsidR="005046C9">
        <w:t xml:space="preserve">. </w:t>
      </w:r>
      <w:r w:rsidR="005018DE">
        <w:t>Overall t</w:t>
      </w:r>
      <w:r w:rsidR="008A6212">
        <w:t xml:space="preserve">he values of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8A6212">
        <w:t xml:space="preserve"> are </w:t>
      </w:r>
      <w:r w:rsidR="005018DE">
        <w:t xml:space="preserve">fairly </w:t>
      </w:r>
      <w:r w:rsidR="008A6212">
        <w:t>similar to the differences found in Table 2a.</w:t>
      </w:r>
      <w:r w:rsidR="00405F58">
        <w:t xml:space="preserve"> </w:t>
      </w:r>
      <w:r w:rsidR="009A7CD7">
        <w:t xml:space="preserve">Recall that the </w:t>
      </w:r>
      <m:oMath>
        <m:r>
          <w:rPr>
            <w:rFonts w:ascii="Cambria Math" w:hAnsi="Cambria Math"/>
          </w:rPr>
          <m:t>AFTER</m:t>
        </m:r>
      </m:oMath>
      <w:r w:rsidR="009A7CD7">
        <w:t xml:space="preserve"> variable controls for aggregate differences in labor market conditions faced by the 1990-91 and 1995-96 cohorts, so that the </w:t>
      </w:r>
      <m:oMath>
        <m:sSub>
          <m:sSubPr>
            <m:ctrlPr>
              <w:rPr>
                <w:rFonts w:ascii="Cambria Math" w:hAnsi="Cambria Math" w:cs="Calibri"/>
                <w:i/>
                <w:iCs/>
              </w:rPr>
            </m:ctrlPr>
          </m:sSubPr>
          <m:e>
            <m:r>
              <w:rPr>
                <w:rFonts w:ascii="Cambria Math" w:hAnsi="Cambria Math"/>
              </w:rPr>
              <m:t>β</m:t>
            </m:r>
          </m:e>
          <m:sub>
            <m:r>
              <w:rPr>
                <w:rFonts w:ascii="Cambria Math" w:hAnsi="Cambria Math"/>
              </w:rPr>
              <m:t>3</m:t>
            </m:r>
          </m:sub>
        </m:sSub>
      </m:oMath>
      <w:r w:rsidR="009A7CD7">
        <w:t xml:space="preserve"> coefficient for the interaction between </w:t>
      </w:r>
      <m:oMath>
        <m:acc>
          <m:accPr>
            <m:ctrlPr>
              <w:rPr>
                <w:rFonts w:ascii="Cambria Math" w:hAnsi="Cambria Math" w:cs="Calibri"/>
                <w:i/>
                <w:iCs/>
              </w:rPr>
            </m:ctrlPr>
          </m:accPr>
          <m:e>
            <m:r>
              <w:rPr>
                <w:rFonts w:ascii="Cambria Math" w:hAnsi="Cambria Math"/>
              </w:rPr>
              <m:t>HOPE</m:t>
            </m:r>
          </m:e>
        </m:acc>
      </m:oMath>
      <w:r w:rsidR="009A7CD7">
        <w:t xml:space="preserve"> and </w:t>
      </w:r>
      <m:oMath>
        <m:r>
          <w:rPr>
            <w:rFonts w:ascii="Cambria Math" w:hAnsi="Cambria Math"/>
          </w:rPr>
          <m:t>AFTER</m:t>
        </m:r>
      </m:oMath>
      <w:r w:rsidR="009A7CD7">
        <w:t xml:space="preserve"> is not affected by aggregate labor market differences. </w:t>
      </w:r>
      <w:r w:rsidR="00E7496A">
        <w:t>These results, therefore, suggest that HOPE reduced post-college retention rates.</w:t>
      </w:r>
    </w:p>
    <w:p w:rsidR="006551DF" w:rsidRDefault="00E17F69" w:rsidP="009A7CD7">
      <w:pPr>
        <w:pStyle w:val="xmsolistparagraph"/>
        <w:spacing w:before="0" w:beforeAutospacing="0" w:after="0" w:afterAutospacing="0" w:line="480" w:lineRule="auto"/>
        <w:ind w:firstLine="720"/>
      </w:pPr>
      <w:r>
        <w:t xml:space="preserve">We repeated this analysis but replaced the dependent variable </w:t>
      </w:r>
      <w:r w:rsidR="008A6422">
        <w:t xml:space="preserve">in the equation predicting HOPE eligibility </w:t>
      </w:r>
      <w:r>
        <w:t>with the number of years the student had a HOPE Scholarship</w:t>
      </w:r>
      <w:r w:rsidR="00983CBB">
        <w:t>,</w:t>
      </w:r>
      <w:r>
        <w:t xml:space="preserve"> and a dummy variable equal to one if the student had a HOPE Scholarship for all four years</w:t>
      </w:r>
      <w:r w:rsidR="00983CBB">
        <w:t>, which we refer to as the four-year HOPE dummy</w:t>
      </w:r>
      <w:r w:rsidR="005046C9">
        <w:t xml:space="preserve">. </w:t>
      </w:r>
      <w:r w:rsidR="00ED25A5">
        <w:t xml:space="preserve">(We do not present these results.) </w:t>
      </w:r>
      <w:r>
        <w:t>For the difference</w:t>
      </w:r>
      <w:r w:rsidR="0083734D">
        <w:t xml:space="preserve"> </w:t>
      </w:r>
      <w:r>
        <w:t>in</w:t>
      </w:r>
      <w:r w:rsidR="0083734D">
        <w:t xml:space="preserve"> </w:t>
      </w:r>
      <w:r>
        <w:t>difference</w:t>
      </w:r>
      <w:r w:rsidR="0083734D">
        <w:t>s</w:t>
      </w:r>
      <w:r>
        <w:t xml:space="preserve"> using the number of years a student had a HOPE Scholarship, the pattern of results are similar to those using the freshman HOPE dummy, </w:t>
      </w:r>
      <w:r w:rsidR="00ED25A5">
        <w:t xml:space="preserve">although the magnitudes of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0E5C26">
        <w:t xml:space="preserve"> </w:t>
      </w:r>
      <w:r w:rsidR="00ED25A5">
        <w:t>are substantially smaller (</w:t>
      </w:r>
      <w:r w:rsidR="00983CBB">
        <w:t xml:space="preserve">generally </w:t>
      </w:r>
      <w:r w:rsidR="00ED25A5">
        <w:t xml:space="preserve">by a factor of </w:t>
      </w:r>
      <w:r w:rsidR="00983CBB">
        <w:t xml:space="preserve">about </w:t>
      </w:r>
      <w:r w:rsidR="00ED25A5">
        <w:t>five) in absolute value</w:t>
      </w:r>
      <w:r w:rsidR="005046C9">
        <w:t xml:space="preserve">. </w:t>
      </w:r>
      <w:r w:rsidR="00D74A4A">
        <w:t xml:space="preserve">Note that this approach assumes that the effect of </w:t>
      </w:r>
      <w:r w:rsidR="005F0375">
        <w:t>the number of years that a student has a HOPE Scholarship is linear, an assumption that is likely to be false</w:t>
      </w:r>
      <w:r w:rsidR="005046C9">
        <w:t xml:space="preserve">. </w:t>
      </w:r>
      <w:r w:rsidR="00ED25A5">
        <w:t xml:space="preserve">Using the four-year HOPE dummy </w:t>
      </w:r>
      <w:r w:rsidR="008A6422">
        <w:t>yields</w:t>
      </w:r>
      <w:r w:rsidR="00ED25A5">
        <w:t xml:space="preserve"> signs on </w:t>
      </w:r>
      <m:oMath>
        <m:sSub>
          <m:sSubPr>
            <m:ctrlPr>
              <w:rPr>
                <w:rFonts w:ascii="Cambria Math" w:hAnsi="Cambria Math"/>
                <w:i/>
              </w:rPr>
            </m:ctrlPr>
          </m:sSubPr>
          <m:e>
            <m:r>
              <w:rPr>
                <w:rFonts w:ascii="Cambria Math" w:hAnsi="Cambria Math"/>
              </w:rPr>
              <m:t>β</m:t>
            </m:r>
          </m:e>
          <m:sub>
            <m:r>
              <w:rPr>
                <w:rFonts w:ascii="Cambria Math" w:hAnsi="Cambria Math"/>
              </w:rPr>
              <m:t xml:space="preserve">3 </m:t>
            </m:r>
          </m:sub>
        </m:sSub>
      </m:oMath>
      <w:r w:rsidR="008A6422">
        <w:t xml:space="preserve">that </w:t>
      </w:r>
      <w:r w:rsidR="00ED25A5">
        <w:t>are negative and somewhat smaller than for the freshman HOPE dummy, but few (9)</w:t>
      </w:r>
      <w:r w:rsidR="00983CBB">
        <w:t xml:space="preserve"> of the </w:t>
      </w:r>
      <w:r w:rsidR="000E5C26">
        <w:t xml:space="preserve">36 </w:t>
      </w:r>
      <w:r w:rsidR="00983CBB">
        <w:t>coefficients</w:t>
      </w:r>
      <w:r w:rsidR="00ED25A5">
        <w:t xml:space="preserve"> are statistically significant</w:t>
      </w:r>
      <w:r w:rsidR="005046C9">
        <w:t xml:space="preserve">. </w:t>
      </w:r>
      <w:proofErr w:type="gramStart"/>
      <w:r w:rsidR="00D74A4A">
        <w:t xml:space="preserve">Using the four-year dummy means that the control </w:t>
      </w:r>
      <w:r w:rsidR="00D74A4A">
        <w:lastRenderedPageBreak/>
        <w:t>group includes those students who received a HOPE Scholarship for less than four-years, so these results</w:t>
      </w:r>
      <w:r w:rsidR="008A6422">
        <w:t xml:space="preserve"> should be interpreted with care</w:t>
      </w:r>
      <w:r w:rsidR="00D74A4A">
        <w:t>.</w:t>
      </w:r>
      <w:proofErr w:type="gramEnd"/>
    </w:p>
    <w:p w:rsidR="000E5C26" w:rsidRPr="006551DF" w:rsidRDefault="000E5C26" w:rsidP="006551DF">
      <w:pPr>
        <w:pStyle w:val="xmsolistparagraph"/>
        <w:spacing w:before="0" w:beforeAutospacing="0" w:after="0" w:afterAutospacing="0" w:line="480" w:lineRule="auto"/>
        <w:ind w:firstLine="720"/>
        <w:rPr>
          <w:i/>
        </w:rPr>
      </w:pPr>
    </w:p>
    <w:p w:rsidR="005C4140" w:rsidRPr="000B23CD" w:rsidRDefault="005C4140" w:rsidP="000B23CD">
      <w:pPr>
        <w:pStyle w:val="xmsolistparagraph"/>
        <w:spacing w:before="0" w:beforeAutospacing="0" w:after="0" w:afterAutospacing="0" w:line="480" w:lineRule="auto"/>
        <w:rPr>
          <w:i/>
        </w:rPr>
      </w:pPr>
      <w:r w:rsidRPr="000B23CD">
        <w:rPr>
          <w:i/>
        </w:rPr>
        <w:t>Differences in Retention Rates by Ability Decile</w:t>
      </w:r>
    </w:p>
    <w:p w:rsidR="00BD751F" w:rsidRDefault="00A93BF9" w:rsidP="006551DF">
      <w:pPr>
        <w:pStyle w:val="xmsolistparagraph"/>
        <w:spacing w:before="0" w:beforeAutospacing="0" w:after="0" w:afterAutospacing="0" w:line="480" w:lineRule="auto"/>
        <w:ind w:firstLine="720"/>
      </w:pPr>
      <w:r>
        <w:t xml:space="preserve">The </w:t>
      </w:r>
      <w:r w:rsidR="00425D38">
        <w:t>next</w:t>
      </w:r>
      <w:r>
        <w:t xml:space="preserve"> method we use </w:t>
      </w:r>
      <w:r w:rsidR="00ED25A5">
        <w:t>c</w:t>
      </w:r>
      <w:r w:rsidR="006551DF" w:rsidRPr="006551DF">
        <w:t>ompare</w:t>
      </w:r>
      <w:r w:rsidR="00ED25A5">
        <w:t>s</w:t>
      </w:r>
      <w:r w:rsidR="006551DF" w:rsidRPr="006551DF">
        <w:t xml:space="preserve"> the difference in </w:t>
      </w:r>
      <w:r w:rsidR="008A6422">
        <w:t xml:space="preserve">mean </w:t>
      </w:r>
      <w:r w:rsidR="006551DF" w:rsidRPr="006551DF">
        <w:t xml:space="preserve">retention </w:t>
      </w:r>
      <w:r>
        <w:t xml:space="preserve">rates </w:t>
      </w:r>
      <w:r w:rsidR="006551DF" w:rsidRPr="006551DF">
        <w:t xml:space="preserve">between </w:t>
      </w:r>
      <w:r>
        <w:t xml:space="preserve">the </w:t>
      </w:r>
      <w:r w:rsidR="006551DF" w:rsidRPr="006551DF">
        <w:t xml:space="preserve">1990-1991 and 1995-1996 </w:t>
      </w:r>
      <w:r>
        <w:t>cohorts sorted by ability</w:t>
      </w:r>
      <w:r w:rsidR="005046C9">
        <w:t xml:space="preserve">. </w:t>
      </w:r>
      <w:r>
        <w:t xml:space="preserve">We rank </w:t>
      </w:r>
      <w:r w:rsidR="00ED25A5">
        <w:t xml:space="preserve">the </w:t>
      </w:r>
      <w:r>
        <w:t xml:space="preserve">students </w:t>
      </w:r>
      <w:r w:rsidR="00350FEE">
        <w:t>with</w:t>
      </w:r>
      <w:r>
        <w:t>in both cohorts by ability decile, where ability is equal to a student’s combined (Verbal plus Math) SAT score plus 400 times their high school GPA on a four point scale.</w:t>
      </w:r>
      <w:r w:rsidR="007D55A2">
        <w:rPr>
          <w:rStyle w:val="FootnoteReference"/>
        </w:rPr>
        <w:footnoteReference w:id="27"/>
      </w:r>
      <w:r w:rsidR="00567F46">
        <w:t xml:space="preserve"> </w:t>
      </w:r>
      <w:r>
        <w:t xml:space="preserve">(Results are similar </w:t>
      </w:r>
      <w:r w:rsidR="00715264">
        <w:t xml:space="preserve">measuring ability by </w:t>
      </w:r>
      <w:r>
        <w:t>just GPA percentiles</w:t>
      </w:r>
      <w:r w:rsidR="00715264">
        <w:t xml:space="preserve"> or just SAT percentiles</w:t>
      </w:r>
      <w:r>
        <w:t>)</w:t>
      </w:r>
      <w:r w:rsidR="005046C9">
        <w:t xml:space="preserve">. </w:t>
      </w:r>
      <w:r w:rsidR="00ED25A5">
        <w:t xml:space="preserve">The first column of numbers in </w:t>
      </w:r>
      <w:r>
        <w:t xml:space="preserve">Table </w:t>
      </w:r>
      <w:r w:rsidR="00425D38">
        <w:t>6</w:t>
      </w:r>
      <w:r w:rsidR="008E6B10">
        <w:t xml:space="preserve"> </w:t>
      </w:r>
      <w:r>
        <w:t>reports</w:t>
      </w:r>
      <w:r w:rsidR="00ED25A5">
        <w:t xml:space="preserve"> for each ability decile</w:t>
      </w:r>
      <w:r>
        <w:t xml:space="preserve"> </w:t>
      </w:r>
      <w:r w:rsidR="00ED25A5">
        <w:t xml:space="preserve">the </w:t>
      </w:r>
      <w:r w:rsidR="0087616E">
        <w:t xml:space="preserve">share </w:t>
      </w:r>
      <w:r w:rsidR="00ED25A5">
        <w:t>of students in the 1995-1996 cohorts who received HOPE Scholarships</w:t>
      </w:r>
      <w:r w:rsidR="005046C9">
        <w:t xml:space="preserve">. </w:t>
      </w:r>
      <w:r w:rsidR="0087616E">
        <w:t>T</w:t>
      </w:r>
      <w:r w:rsidR="000C6923">
        <w:t xml:space="preserve">he </w:t>
      </w:r>
      <w:r w:rsidR="0087616E">
        <w:t xml:space="preserve">share </w:t>
      </w:r>
      <w:r w:rsidR="000C6923">
        <w:t>increases across the ability deciles</w:t>
      </w:r>
      <w:r w:rsidR="0087616E">
        <w:t xml:space="preserve"> but is more than zero and less than one for even the bottom and top deciles</w:t>
      </w:r>
      <w:r w:rsidR="005046C9">
        <w:t xml:space="preserve">. </w:t>
      </w:r>
      <w:r w:rsidR="000C6923">
        <w:t xml:space="preserve">Table </w:t>
      </w:r>
      <w:r w:rsidR="00425D38">
        <w:t>6</w:t>
      </w:r>
      <w:r w:rsidR="008E6B10">
        <w:t xml:space="preserve"> </w:t>
      </w:r>
      <w:r w:rsidR="000C6923">
        <w:t>then report</w:t>
      </w:r>
      <w:r>
        <w:t xml:space="preserve">s </w:t>
      </w:r>
      <w:r w:rsidR="000C6923">
        <w:t xml:space="preserve">the post-college </w:t>
      </w:r>
      <w:r w:rsidR="008A6422">
        <w:t xml:space="preserve">mean </w:t>
      </w:r>
      <w:r w:rsidR="000C6923">
        <w:t xml:space="preserve">retention rates </w:t>
      </w:r>
      <w:r>
        <w:t>in G</w:t>
      </w:r>
      <w:r w:rsidR="00ED25A5">
        <w:t>eorgia</w:t>
      </w:r>
      <w:r>
        <w:t xml:space="preserve"> for </w:t>
      </w:r>
      <w:r w:rsidR="00ED25A5">
        <w:t>4 through</w:t>
      </w:r>
      <w:r>
        <w:t xml:space="preserve"> 12 years after high school by decile for both the pre- and post-HOPE cohorts and the difference in retention</w:t>
      </w:r>
      <w:r w:rsidR="000C6923">
        <w:t xml:space="preserve"> rates</w:t>
      </w:r>
      <w:r w:rsidR="005046C9">
        <w:t xml:space="preserve">. </w:t>
      </w:r>
      <w:r w:rsidR="00B073C9">
        <w:t>T</w:t>
      </w:r>
      <w:r w:rsidR="00903525">
        <w:t>he retention rates are generally lowest for the highest ability deciles, suggesting that the most able students are the ones most likely to leave the state after college</w:t>
      </w:r>
      <w:r w:rsidR="005046C9">
        <w:t xml:space="preserve">. </w:t>
      </w:r>
      <w:r w:rsidR="00B073C9">
        <w:t>This is not surprising given</w:t>
      </w:r>
      <w:r w:rsidR="008A6422">
        <w:t xml:space="preserve"> the finding in the literature</w:t>
      </w:r>
      <w:r w:rsidR="00B073C9">
        <w:t xml:space="preserve"> that better educated individuals are more geographically mobile</w:t>
      </w:r>
      <w:r w:rsidR="005046C9">
        <w:t xml:space="preserve">. </w:t>
      </w:r>
    </w:p>
    <w:p w:rsidR="004776E4" w:rsidRDefault="00903525" w:rsidP="0048254C">
      <w:pPr>
        <w:pStyle w:val="xmsolistparagraph"/>
        <w:spacing w:before="0" w:beforeAutospacing="0" w:after="0" w:afterAutospacing="0" w:line="480" w:lineRule="auto"/>
        <w:ind w:firstLine="720"/>
      </w:pPr>
      <w:r>
        <w:t>More important for our purposes are the differences</w:t>
      </w:r>
      <w:r w:rsidR="00BD751F">
        <w:t xml:space="preserve"> in post-college retention rates</w:t>
      </w:r>
      <w:r>
        <w:t xml:space="preserve"> before and after HOPE</w:t>
      </w:r>
      <w:r w:rsidR="005046C9">
        <w:t xml:space="preserve">. </w:t>
      </w:r>
      <w:r w:rsidR="0048254C">
        <w:t xml:space="preserve">Measured </w:t>
      </w:r>
      <w:r w:rsidR="000C6923">
        <w:t>four</w:t>
      </w:r>
      <w:r w:rsidR="0048254C">
        <w:t xml:space="preserve"> years</w:t>
      </w:r>
      <w:r w:rsidR="000C6923">
        <w:t xml:space="preserve"> after high school graduation, the differences are </w:t>
      </w:r>
      <w:r w:rsidR="0048254C">
        <w:t xml:space="preserve">only </w:t>
      </w:r>
      <w:r w:rsidR="000C6923">
        <w:t>statistically significant</w:t>
      </w:r>
      <w:r w:rsidR="0048254C">
        <w:t xml:space="preserve"> based on OLS standard errors at the 10 percent level</w:t>
      </w:r>
      <w:r w:rsidR="00BD751F">
        <w:t xml:space="preserve"> </w:t>
      </w:r>
      <w:r w:rsidR="0048254C">
        <w:t>for one ability decile</w:t>
      </w:r>
      <w:r w:rsidR="005046C9">
        <w:t xml:space="preserve">. </w:t>
      </w:r>
      <w:r w:rsidR="00420C73">
        <w:t xml:space="preserve">Five years after high school, the differences are now significant for three of the </w:t>
      </w:r>
      <w:r w:rsidR="004776E4">
        <w:t>four highest ability deciles and the differences are more than three percentage points for the top two deciles</w:t>
      </w:r>
      <w:r w:rsidR="005046C9">
        <w:t xml:space="preserve">. </w:t>
      </w:r>
      <w:r w:rsidR="004776E4">
        <w:t>F</w:t>
      </w:r>
      <w:r w:rsidR="000C6923">
        <w:t xml:space="preserve">or 6 to 9 years after high school graduation, we find negative and statistically </w:t>
      </w:r>
      <w:r w:rsidR="000C6923">
        <w:lastRenderedPageBreak/>
        <w:t>significant differences</w:t>
      </w:r>
      <w:r w:rsidR="00E86E12">
        <w:t xml:space="preserve"> </w:t>
      </w:r>
      <w:r w:rsidR="004776E4">
        <w:t xml:space="preserve">in </w:t>
      </w:r>
      <w:r w:rsidR="00E86E12">
        <w:t xml:space="preserve">the pre- and post-HOPE </w:t>
      </w:r>
      <w:r w:rsidR="00BD751F">
        <w:t xml:space="preserve">retention rates for </w:t>
      </w:r>
      <w:r w:rsidR="0048254C">
        <w:t>nearly all</w:t>
      </w:r>
      <w:r w:rsidR="00BD751F">
        <w:t xml:space="preserve"> </w:t>
      </w:r>
      <w:r w:rsidR="00E86E12">
        <w:t>ability deciles</w:t>
      </w:r>
      <w:r w:rsidR="000C6923">
        <w:t xml:space="preserve">. </w:t>
      </w:r>
      <w:r w:rsidR="004776E4">
        <w:t>These years correspond to the largest average differences in Table 2a and may be influenced by differing macroeconomic conditions faced by the pre- and post-HOPE cohorts that affect employment rates for individuals of all abilities.</w:t>
      </w:r>
    </w:p>
    <w:p w:rsidR="008A6422" w:rsidRDefault="000C6923" w:rsidP="0048254C">
      <w:pPr>
        <w:pStyle w:val="xmsolistparagraph"/>
        <w:spacing w:before="0" w:beforeAutospacing="0" w:after="0" w:afterAutospacing="0" w:line="480" w:lineRule="auto"/>
        <w:ind w:firstLine="720"/>
      </w:pPr>
      <w:r>
        <w:t xml:space="preserve"> </w:t>
      </w:r>
      <w:r w:rsidR="001A53DB">
        <w:t>F</w:t>
      </w:r>
      <w:r>
        <w:t>or 10 to 12 years</w:t>
      </w:r>
      <w:r w:rsidR="001A53DB">
        <w:t xml:space="preserve"> after high school</w:t>
      </w:r>
      <w:r w:rsidR="00261ADE">
        <w:t>, the differences in retention rates for the four highest ability deciles are negative and statistically significant in all but one case suggesting that HOPE reduced retention rates for the best students</w:t>
      </w:r>
      <w:r w:rsidR="005046C9">
        <w:t xml:space="preserve">. </w:t>
      </w:r>
      <w:r w:rsidR="00261ADE">
        <w:t>Furthermore, the negative effects of HOPE on retention are largest for the very top decile, with decreases greater than four percentage points between 10 and 12 years after high school</w:t>
      </w:r>
      <w:r w:rsidR="005046C9">
        <w:t xml:space="preserve">. </w:t>
      </w:r>
      <w:r w:rsidR="001A0860">
        <w:t>In contrast, the pre- and post-HOPE differences for the six lowest ability deciles for 10 to 12 years after high school are typically small and are statistically significant in only three cases, one of which is negative and two of which are positive</w:t>
      </w:r>
      <w:r w:rsidR="005046C9">
        <w:t xml:space="preserve">. </w:t>
      </w:r>
      <w:r w:rsidR="00731AEA">
        <w:t>This suggests that while HOPE reduced the post-college retention rates for high ability students it did not for low and medium ability students</w:t>
      </w:r>
      <w:r w:rsidR="005046C9">
        <w:t>.</w:t>
      </w:r>
      <w:r w:rsidR="00567F46">
        <w:t xml:space="preserve">  </w:t>
      </w:r>
    </w:p>
    <w:p w:rsidR="006551DF" w:rsidRDefault="006551DF" w:rsidP="006551DF">
      <w:pPr>
        <w:pStyle w:val="xmsolistparagraph"/>
        <w:spacing w:before="0" w:beforeAutospacing="0" w:after="0" w:afterAutospacing="0" w:line="480" w:lineRule="auto"/>
        <w:ind w:firstLine="720"/>
      </w:pPr>
    </w:p>
    <w:p w:rsidR="008A6212" w:rsidRPr="00883E37" w:rsidRDefault="008A6212" w:rsidP="00883E37">
      <w:pPr>
        <w:pStyle w:val="xmsolistparagraph"/>
        <w:spacing w:before="0" w:beforeAutospacing="0" w:after="0" w:afterAutospacing="0" w:line="480" w:lineRule="auto"/>
        <w:rPr>
          <w:i/>
        </w:rPr>
      </w:pPr>
      <w:r w:rsidRPr="00883E37">
        <w:rPr>
          <w:i/>
        </w:rPr>
        <w:t xml:space="preserve">Summary of </w:t>
      </w:r>
      <w:r w:rsidR="002A5BB3">
        <w:rPr>
          <w:i/>
        </w:rPr>
        <w:t xml:space="preserve">USG </w:t>
      </w:r>
      <w:r w:rsidRPr="00883E37">
        <w:rPr>
          <w:i/>
        </w:rPr>
        <w:t>Results</w:t>
      </w:r>
    </w:p>
    <w:p w:rsidR="009E34B0" w:rsidRDefault="003D70BB" w:rsidP="003D70BB">
      <w:pPr>
        <w:pStyle w:val="xmsolistparagraph"/>
        <w:spacing w:before="0" w:beforeAutospacing="0" w:after="0" w:afterAutospacing="0" w:line="480" w:lineRule="auto"/>
        <w:ind w:firstLine="720"/>
      </w:pPr>
      <w:r>
        <w:t xml:space="preserve">The empirical results </w:t>
      </w:r>
      <w:r w:rsidR="008A6212">
        <w:t>presented above</w:t>
      </w:r>
      <w:r w:rsidR="002A5BB3">
        <w:t xml:space="preserve"> using the USG-approach</w:t>
      </w:r>
      <w:r w:rsidR="008A6212">
        <w:t xml:space="preserve"> </w:t>
      </w:r>
      <w:r>
        <w:t>tell an interesting story</w:t>
      </w:r>
      <w:r w:rsidR="005046C9">
        <w:t xml:space="preserve">. </w:t>
      </w:r>
      <w:r>
        <w:t>The results in Table 2</w:t>
      </w:r>
      <w:r w:rsidR="00252472">
        <w:t>a</w:t>
      </w:r>
      <w:r>
        <w:t xml:space="preserve"> and </w:t>
      </w:r>
      <w:r w:rsidR="00252472">
        <w:t>2c</w:t>
      </w:r>
      <w:r>
        <w:t xml:space="preserve"> suggest that HOPE had </w:t>
      </w:r>
      <w:r w:rsidR="008A6212">
        <w:t>a small negative</w:t>
      </w:r>
      <w:r>
        <w:t xml:space="preserve"> effect on the average post-college </w:t>
      </w:r>
      <w:r w:rsidR="00252472">
        <w:t xml:space="preserve">employment </w:t>
      </w:r>
      <w:r>
        <w:t>retention rates of students</w:t>
      </w:r>
      <w:r w:rsidR="005046C9">
        <w:t xml:space="preserve">. </w:t>
      </w:r>
      <w:r w:rsidR="008A6212">
        <w:t xml:space="preserve">Likewise, </w:t>
      </w:r>
      <w:r>
        <w:t xml:space="preserve">Table </w:t>
      </w:r>
      <w:r w:rsidR="00252472">
        <w:t>5</w:t>
      </w:r>
      <w:r w:rsidR="008A6212">
        <w:t xml:space="preserve"> </w:t>
      </w:r>
      <w:r>
        <w:t>suggests that a higher probability of HOPE receipt did reduce the retention rates of students actually eligible for HOPE after eight or more years since high school</w:t>
      </w:r>
      <w:r w:rsidR="005046C9">
        <w:t xml:space="preserve">. </w:t>
      </w:r>
      <w:r>
        <w:t xml:space="preserve">Table </w:t>
      </w:r>
      <w:r w:rsidR="00252472">
        <w:t>6</w:t>
      </w:r>
      <w:r>
        <w:t xml:space="preserve"> reports that the highest ability students in the USG experienced significant decreases in retention rates for nearly all numbers of years since high school, but the lowest ability students did not experience decreased retention rates in the most recent years (10-12 years after high school)</w:t>
      </w:r>
      <w:r w:rsidR="005046C9">
        <w:t xml:space="preserve">. </w:t>
      </w:r>
      <w:r w:rsidR="00654A56">
        <w:t>T</w:t>
      </w:r>
      <w:r>
        <w:t xml:space="preserve">ogether, these results suggest that HOPE </w:t>
      </w:r>
      <w:r>
        <w:lastRenderedPageBreak/>
        <w:t xml:space="preserve">reduced the </w:t>
      </w:r>
      <w:r w:rsidR="00E72BDD">
        <w:t xml:space="preserve">conditional </w:t>
      </w:r>
      <w:r>
        <w:t xml:space="preserve">retention rates of the </w:t>
      </w:r>
      <w:r w:rsidR="00DD539C">
        <w:t xml:space="preserve">very </w:t>
      </w:r>
      <w:r>
        <w:t xml:space="preserve">best and brightest students but had a sufficiently small (maybe even positive) effect on the retention rates of students in lower ability deciles so that the average effect on retention rates is </w:t>
      </w:r>
      <w:r w:rsidR="000D1607">
        <w:t xml:space="preserve">generally </w:t>
      </w:r>
      <w:r>
        <w:t>small</w:t>
      </w:r>
      <w:r w:rsidR="005046C9">
        <w:t xml:space="preserve">. </w:t>
      </w:r>
    </w:p>
    <w:p w:rsidR="000E5C26" w:rsidRDefault="003D70BB" w:rsidP="003D70BB">
      <w:pPr>
        <w:pStyle w:val="xmsolistparagraph"/>
        <w:spacing w:before="0" w:beforeAutospacing="0" w:after="0" w:afterAutospacing="0" w:line="480" w:lineRule="auto"/>
        <w:ind w:firstLine="720"/>
      </w:pPr>
      <w:r>
        <w:t xml:space="preserve">We suggest that the decreased retention rates for the highest ability groups are largely due to the effect of HOPE on </w:t>
      </w:r>
      <w:r w:rsidR="00654A56">
        <w:t xml:space="preserve">the </w:t>
      </w:r>
      <w:r>
        <w:t>changing composition of the student body</w:t>
      </w:r>
      <w:r w:rsidR="005046C9">
        <w:t xml:space="preserve">. </w:t>
      </w:r>
      <w:r>
        <w:t>HOPE encouraged many students to enroll in the USG who otherwise would have gone to college out-of-state</w:t>
      </w:r>
      <w:r w:rsidR="005046C9">
        <w:t xml:space="preserve">. </w:t>
      </w:r>
      <w:r>
        <w:t xml:space="preserve">These students are likely to be less attached to the state and less likely to remain in the state after college than </w:t>
      </w:r>
      <w:r w:rsidR="00654A56">
        <w:t xml:space="preserve">are </w:t>
      </w:r>
      <w:r>
        <w:t xml:space="preserve">students who would have attended the USG regardless of HOPE. </w:t>
      </w:r>
    </w:p>
    <w:p w:rsidR="00BE047F" w:rsidRDefault="00BE047F" w:rsidP="004D39D9">
      <w:pPr>
        <w:pStyle w:val="xmsolistparagraph"/>
        <w:spacing w:before="0" w:beforeAutospacing="0" w:after="0" w:afterAutospacing="0" w:line="480" w:lineRule="auto"/>
      </w:pPr>
    </w:p>
    <w:p w:rsidR="00D07DF9" w:rsidRPr="00C30EF0" w:rsidRDefault="00D07DF9" w:rsidP="0050112A">
      <w:pPr>
        <w:spacing w:line="480" w:lineRule="auto"/>
        <w:rPr>
          <w:b/>
        </w:rPr>
      </w:pPr>
      <w:r>
        <w:rPr>
          <w:b/>
        </w:rPr>
        <w:t>VI</w:t>
      </w:r>
      <w:r w:rsidRPr="00C30EF0">
        <w:rPr>
          <w:b/>
        </w:rPr>
        <w:t>. Empirical Framework for PUMS Analysis</w:t>
      </w:r>
    </w:p>
    <w:p w:rsidR="00D07DF9" w:rsidRDefault="00D07DF9" w:rsidP="0050112A">
      <w:pPr>
        <w:spacing w:line="480" w:lineRule="auto"/>
        <w:ind w:firstLine="720"/>
      </w:pPr>
      <w:r>
        <w:t xml:space="preserve">We </w:t>
      </w:r>
      <w:r w:rsidR="00F328EC">
        <w:t xml:space="preserve">turn now to </w:t>
      </w:r>
      <w:r w:rsidR="00B62A3A">
        <w:t xml:space="preserve">consideration of the alternative definition of treatment and the use of </w:t>
      </w:r>
      <w:r w:rsidR="00F328EC">
        <w:t>the Hickman-approach.</w:t>
      </w:r>
      <w:r w:rsidR="00567F46">
        <w:t xml:space="preserve"> </w:t>
      </w:r>
      <w:r w:rsidR="00F328EC">
        <w:t>For this approach we</w:t>
      </w:r>
      <w:r>
        <w:t xml:space="preserve"> use decennial census and American Community Survey (ACS) Public Use Microdata Samples (PUMS) to examine the effects of HOPE on the probability of living in Georgia post-college for all persons born in the state who have attended at least some college.</w:t>
      </w:r>
      <w:r w:rsidR="00567F46">
        <w:t xml:space="preserve"> </w:t>
      </w:r>
      <w:r>
        <w:t>The PUMS data do not tell us where an individual attended college, only that they attended college somewhere.</w:t>
      </w:r>
      <w:r w:rsidR="00567F46">
        <w:t xml:space="preserve"> </w:t>
      </w:r>
      <w:r>
        <w:t>Like Hickman we assume that individuals attend college in their state of birth.</w:t>
      </w:r>
      <w:r w:rsidR="00567F46">
        <w:t xml:space="preserve"> </w:t>
      </w:r>
      <w:r>
        <w:t>Similarly to Hickman’s merit program treatment variable for Florida, we define a HOPE treatment dummy equal to one if an individual was born in Georgia and turned 18 in 1993 or later and zero otherwise.</w:t>
      </w:r>
      <w:r w:rsidR="00567F46">
        <w:t xml:space="preserve"> </w:t>
      </w:r>
      <w:r>
        <w:t>Year age 18 is based on the survey year and age at the time of the survey.</w:t>
      </w:r>
      <w:r w:rsidR="00567F46">
        <w:t xml:space="preserve"> </w:t>
      </w:r>
      <w:r>
        <w:t>Data are drawn from the 1990 and 2000 decennial censuses and the 2001-2010 ACS all available at IPUMS (</w:t>
      </w:r>
      <w:proofErr w:type="spellStart"/>
      <w:r>
        <w:t>Ruggles</w:t>
      </w:r>
      <w:proofErr w:type="spellEnd"/>
      <w:r>
        <w:t xml:space="preserve"> et al</w:t>
      </w:r>
      <w:r w:rsidR="00C75571">
        <w:t>.</w:t>
      </w:r>
      <w:r>
        <w:t xml:space="preserve"> 2010) and we use census provided weights to give each survey year roughly equal weight.</w:t>
      </w:r>
      <w:r w:rsidR="00567F46">
        <w:t xml:space="preserve"> </w:t>
      </w:r>
      <w:r>
        <w:t>The sample is limited to persons who are not in school or the military and have un</w:t>
      </w:r>
      <w:r w:rsidR="00F328EC">
        <w:t>-</w:t>
      </w:r>
      <w:r>
        <w:t>imputed information for age, education, and state of birth.</w:t>
      </w:r>
    </w:p>
    <w:p w:rsidR="00D07DF9" w:rsidRDefault="00D07DF9" w:rsidP="0050112A">
      <w:pPr>
        <w:spacing w:line="480" w:lineRule="auto"/>
        <w:ind w:firstLine="720"/>
      </w:pPr>
      <w:r>
        <w:lastRenderedPageBreak/>
        <w:t xml:space="preserve">We first </w:t>
      </w:r>
      <w:r w:rsidR="00110DF0">
        <w:t xml:space="preserve">employ </w:t>
      </w:r>
      <w:r>
        <w:t>an empirical approach that is very similar to Hickman (2009).</w:t>
      </w:r>
      <w:r w:rsidR="00567F46">
        <w:t xml:space="preserve"> </w:t>
      </w:r>
      <w:r>
        <w:t>We limit the sample to persons ages 23-27 who were born in Georgia and also exclude military veterans.</w:t>
      </w:r>
      <w:r w:rsidR="00567F46">
        <w:t xml:space="preserve"> </w:t>
      </w:r>
      <w:r>
        <w:t>We estimate the following linear probability model (LPM):</w:t>
      </w:r>
    </w:p>
    <w:p w:rsidR="00D07DF9" w:rsidRPr="00612C51" w:rsidRDefault="00D07DF9" w:rsidP="0050112A">
      <w:pPr>
        <w:spacing w:line="480" w:lineRule="auto"/>
        <w:ind w:firstLine="720"/>
        <w:rPr>
          <w:rFonts w:eastAsiaTheme="minorEastAsia"/>
        </w:rPr>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=1</m:t>
            </m:r>
          </m:e>
        </m:d>
        <m:r>
          <w:rPr>
            <w:rFonts w:ascii="Cambria Math" w:hAnsi="Cambria Math"/>
          </w:rPr>
          <m:t>=α+</m:t>
        </m:r>
        <m:r>
          <w:rPr>
            <w:rFonts w:ascii="Cambria Math" w:eastAsiaTheme="minorEastAsia" w:hAnsi="Cambria Math"/>
          </w:rPr>
          <m:t>β</m:t>
        </m:r>
        <m:sSub>
          <m:sSubPr>
            <m:ctrlPr>
              <w:rPr>
                <w:rFonts w:ascii="Cambria Math" w:eastAsiaTheme="minorEastAsia" w:hAnsi="Cambria Math"/>
                <w:i/>
              </w:rPr>
            </m:ctrlPr>
          </m:sSubPr>
          <m:e>
            <m:r>
              <w:rPr>
                <w:rFonts w:ascii="Cambria Math" w:eastAsiaTheme="minorEastAsia" w:hAnsi="Cambria Math"/>
              </w:rPr>
              <m:t>HOPE</m:t>
            </m:r>
          </m:e>
          <m:sub>
            <m:r>
              <w:rPr>
                <w:rFonts w:ascii="Cambria Math" w:eastAsiaTheme="minorEastAsia" w:hAnsi="Cambria Math"/>
              </w:rPr>
              <m:t>it</m:t>
            </m:r>
          </m:sub>
        </m:sSub>
        <m:r>
          <w:rPr>
            <w:rFonts w:ascii="Cambria Math" w:eastAsiaTheme="minorEastAsia" w:hAnsi="Cambria Math"/>
          </w:rPr>
          <m:t>+γ</m:t>
        </m:r>
        <m:sSub>
          <m:sSubPr>
            <m:ctrlPr>
              <w:rPr>
                <w:rFonts w:ascii="Cambria Math" w:eastAsiaTheme="minorEastAsia" w:hAnsi="Cambria Math"/>
                <w:i/>
              </w:rPr>
            </m:ctrlPr>
          </m:sSubPr>
          <m:e>
            <m:r>
              <w:rPr>
                <w:rFonts w:ascii="Cambria Math" w:eastAsiaTheme="minorEastAsia" w:hAnsi="Cambria Math"/>
              </w:rPr>
              <m:t>College</m:t>
            </m:r>
          </m:e>
          <m:sub>
            <m:r>
              <w:rPr>
                <w:rFonts w:ascii="Cambria Math" w:eastAsiaTheme="minorEastAsia" w:hAnsi="Cambria Math"/>
              </w:rPr>
              <m:t>it</m:t>
            </m:r>
          </m:sub>
        </m:sSub>
        <m:r>
          <w:rPr>
            <w:rFonts w:ascii="Cambria Math" w:eastAsiaTheme="minorEastAsia" w:hAnsi="Cambria Math"/>
          </w:rPr>
          <m:t>+δ</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HOPE</m:t>
                </m:r>
              </m:e>
              <m:sub>
                <m: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College</m:t>
                </m:r>
              </m:e>
              <m:sub>
                <m:r>
                  <w:rPr>
                    <w:rFonts w:ascii="Cambria Math" w:eastAsiaTheme="minorEastAsia" w:hAnsi="Cambria Math"/>
                  </w:rPr>
                  <m:t>it</m:t>
                </m:r>
              </m:sub>
            </m:sSub>
          </m:e>
        </m:d>
        <m:r>
          <w:rPr>
            <w:rFonts w:ascii="Cambria Math" w:eastAsiaTheme="minorEastAsia" w:hAnsi="Cambria Math"/>
          </w:rPr>
          <m:t>+</m:t>
        </m:r>
        <m:sSub>
          <m:sSubPr>
            <m:ctrlPr>
              <w:rPr>
                <w:rFonts w:ascii="Cambria Math" w:hAnsi="Cambria Math"/>
                <w:i/>
              </w:rPr>
            </m:ctrlPr>
          </m:sSubPr>
          <m:e>
            <m:r>
              <m:rPr>
                <m:sty m:val="p"/>
              </m:rPr>
              <w:rPr>
                <w:rFonts w:ascii="Cambria Math" w:hAnsi="Cambria Math"/>
              </w:rPr>
              <m:t>Θ</m:t>
            </m:r>
            <m:r>
              <w:rPr>
                <w:rFonts w:ascii="Cambria Math" w:hAnsi="Cambria Math"/>
              </w:rPr>
              <m:t>X</m:t>
            </m:r>
          </m:e>
          <m:sub>
            <m:r>
              <w:rPr>
                <w:rFonts w:ascii="Cambria Math" w:hAnsi="Cambria Math"/>
              </w:rPr>
              <m:t>it</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t</m:t>
            </m:r>
          </m:sub>
        </m:sSub>
        <m:r>
          <w:rPr>
            <w:rFonts w:ascii="Cambria Math" w:eastAsiaTheme="minorEastAsia"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r>
        <w:rPr>
          <w:rFonts w:eastAsiaTheme="minorEastAsia"/>
        </w:rPr>
        <w:t>,</w:t>
      </w:r>
    </w:p>
    <w:p w:rsidR="00D07DF9" w:rsidRDefault="00D07DF9" w:rsidP="0050112A">
      <w:pPr>
        <w:spacing w:line="480" w:lineRule="auto"/>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t xml:space="preserve"> </w:t>
      </w:r>
      <w:r>
        <w:rPr>
          <w:rFonts w:eastAsiaTheme="minorEastAsia"/>
        </w:rPr>
        <w:t xml:space="preserve">equals one if individual </w:t>
      </w:r>
      <m:oMath>
        <m:r>
          <w:rPr>
            <w:rFonts w:ascii="Cambria Math" w:eastAsiaTheme="minorEastAsia" w:hAnsi="Cambria Math"/>
          </w:rPr>
          <m:t>i</m:t>
        </m:r>
      </m:oMath>
      <w:r>
        <w:rPr>
          <w:rFonts w:eastAsiaTheme="minorEastAsia"/>
        </w:rPr>
        <w:t xml:space="preserve"> lives in Georgia in </w:t>
      </w:r>
      <w:proofErr w:type="gramStart"/>
      <w:r>
        <w:rPr>
          <w:rFonts w:eastAsiaTheme="minorEastAsia"/>
        </w:rPr>
        <w:t xml:space="preserve">year </w:t>
      </w:r>
      <w:proofErr w:type="gramEnd"/>
      <m:oMath>
        <m:r>
          <w:rPr>
            <w:rFonts w:ascii="Cambria Math" w:eastAsiaTheme="minorEastAsia" w:hAnsi="Cambria Math"/>
          </w:rPr>
          <m:t>t</m:t>
        </m:r>
      </m:oMath>
      <w:r>
        <w:rPr>
          <w:rFonts w:eastAsiaTheme="minorEastAsia"/>
        </w:rPr>
        <w:t xml:space="preserve">, </w:t>
      </w:r>
      <m:oMath>
        <m:r>
          <w:rPr>
            <w:rFonts w:ascii="Cambria Math" w:eastAsiaTheme="minorEastAsia" w:hAnsi="Cambria Math"/>
          </w:rPr>
          <m:t>HOPE</m:t>
        </m:r>
      </m:oMath>
      <w:r>
        <w:rPr>
          <w:rFonts w:eastAsiaTheme="minorEastAsia"/>
        </w:rPr>
        <w:t xml:space="preserve"> is a dummy equal to one for persons turning 18 after 1993, </w:t>
      </w:r>
      <m:oMath>
        <m:r>
          <w:rPr>
            <w:rFonts w:ascii="Cambria Math" w:eastAsiaTheme="minorEastAsia" w:hAnsi="Cambria Math"/>
          </w:rPr>
          <m:t>College</m:t>
        </m:r>
      </m:oMath>
      <w:r>
        <w:rPr>
          <w:rFonts w:eastAsiaTheme="minorEastAsia"/>
        </w:rPr>
        <w:t xml:space="preserve"> is a dummy equal to one if the person has attended at least some college, </w:t>
      </w:r>
      <m:oMath>
        <m:r>
          <w:rPr>
            <w:rFonts w:ascii="Cambria Math" w:hAnsi="Cambria Math"/>
          </w:rPr>
          <m:t>X</m:t>
        </m:r>
      </m:oMath>
      <w:r>
        <w:rPr>
          <w:rFonts w:eastAsiaTheme="minorEastAsia"/>
        </w:rPr>
        <w:t xml:space="preserve"> controls for individual characteristics including a linear term for age and dummies for whether the individual is female, black, Asian, or Hispanic, and </w:t>
      </w:r>
      <m:oMath>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t</m:t>
            </m:r>
          </m:sub>
        </m:sSub>
      </m:oMath>
      <w:r>
        <w:rPr>
          <w:rFonts w:eastAsiaTheme="minorEastAsia"/>
        </w:rPr>
        <w:t xml:space="preserve"> includes a full set of survey year dummies.</w:t>
      </w:r>
      <w:r w:rsidR="00567F46">
        <w:rPr>
          <w:rFonts w:eastAsiaTheme="minorEastAsia"/>
        </w:rPr>
        <w:t xml:space="preserve"> </w:t>
      </w:r>
      <w:r>
        <w:rPr>
          <w:rFonts w:eastAsiaTheme="minorEastAsia"/>
        </w:rPr>
        <w:t>We refer to this first PUMS specification as our Hickman specification.</w:t>
      </w:r>
      <w:r w:rsidR="00567F46">
        <w:rPr>
          <w:rFonts w:eastAsiaTheme="minorEastAsia"/>
        </w:rPr>
        <w:t xml:space="preserve"> </w:t>
      </w:r>
      <w:r>
        <w:rPr>
          <w:rFonts w:eastAsiaTheme="minorEastAsia"/>
        </w:rPr>
        <w:t xml:space="preserve">This specification differs from Hickman’s in only four aspects: 1) we examine Georgia instead of Florida, 2) we include more years than Hickman, 3) we use a linear probability model </w:t>
      </w:r>
      <w:r w:rsidR="002A5BB3">
        <w:rPr>
          <w:rFonts w:eastAsiaTheme="minorEastAsia"/>
        </w:rPr>
        <w:t xml:space="preserve">(LPM) </w:t>
      </w:r>
      <w:r>
        <w:rPr>
          <w:rFonts w:eastAsiaTheme="minorEastAsia"/>
        </w:rPr>
        <w:t xml:space="preserve">while Hickman used </w:t>
      </w:r>
      <w:proofErr w:type="spellStart"/>
      <w:r>
        <w:rPr>
          <w:rFonts w:eastAsiaTheme="minorEastAsia"/>
        </w:rPr>
        <w:t>probit</w:t>
      </w:r>
      <w:proofErr w:type="spellEnd"/>
      <w:r>
        <w:rPr>
          <w:rFonts w:eastAsiaTheme="minorEastAsia"/>
        </w:rPr>
        <w:t>, and 4) we use weights while Hickman is silent on the issue.</w:t>
      </w:r>
      <w:r w:rsidR="00567F46">
        <w:rPr>
          <w:rFonts w:eastAsiaTheme="minorEastAsia"/>
        </w:rPr>
        <w:t xml:space="preserve"> </w:t>
      </w:r>
      <w:r>
        <w:rPr>
          <w:rFonts w:eastAsiaTheme="minorEastAsia"/>
        </w:rPr>
        <w:t>We use more years because more information is preferred to less and using more years allows us to produce more precise estimates.</w:t>
      </w:r>
      <w:r>
        <w:rPr>
          <w:rStyle w:val="FootnoteReference"/>
          <w:rFonts w:eastAsiaTheme="minorEastAsia"/>
        </w:rPr>
        <w:footnoteReference w:id="28"/>
      </w:r>
      <w:r w:rsidR="00567F46">
        <w:rPr>
          <w:rFonts w:eastAsiaTheme="minorEastAsia"/>
        </w:rPr>
        <w:t xml:space="preserve"> </w:t>
      </w:r>
      <w:r>
        <w:rPr>
          <w:rFonts w:eastAsiaTheme="minorEastAsia"/>
        </w:rPr>
        <w:t xml:space="preserve">The LPM is chosen for simplicity and ease of exposition but results are robust to using </w:t>
      </w:r>
      <w:proofErr w:type="spellStart"/>
      <w:r>
        <w:rPr>
          <w:rFonts w:eastAsiaTheme="minorEastAsia"/>
        </w:rPr>
        <w:t>probit</w:t>
      </w:r>
      <w:proofErr w:type="spellEnd"/>
      <w:r>
        <w:rPr>
          <w:rFonts w:eastAsiaTheme="minorEastAsia"/>
        </w:rPr>
        <w:t>.</w:t>
      </w:r>
      <w:r w:rsidR="00567F46">
        <w:rPr>
          <w:rFonts w:eastAsiaTheme="minorEastAsia"/>
        </w:rPr>
        <w:t xml:space="preserve"> </w:t>
      </w:r>
      <w:r>
        <w:rPr>
          <w:rFonts w:eastAsiaTheme="minorEastAsia"/>
        </w:rPr>
        <w:t>Weights are used because the early years of the ACS (2001-2004) were relatively small samples but we want each survey year to be treated equally.</w:t>
      </w:r>
    </w:p>
    <w:p w:rsidR="00D07DF9" w:rsidRDefault="00D07DF9" w:rsidP="0050112A">
      <w:pPr>
        <w:spacing w:line="480" w:lineRule="auto"/>
        <w:ind w:firstLine="720"/>
        <w:rPr>
          <w:rFonts w:eastAsiaTheme="minorEastAsia"/>
        </w:rPr>
      </w:pPr>
      <w:r>
        <w:rPr>
          <w:rFonts w:eastAsiaTheme="minorEastAsia"/>
        </w:rPr>
        <w:t>Hickman argues that persons who do not attend college should be unaffected by merit programs and are a useful control group for persons who do attend college.</w:t>
      </w:r>
      <w:r w:rsidR="00567F46">
        <w:rPr>
          <w:rFonts w:eastAsiaTheme="minorEastAsia"/>
        </w:rPr>
        <w:t xml:space="preserve"> </w:t>
      </w:r>
      <w:r>
        <w:rPr>
          <w:rFonts w:eastAsiaTheme="minorEastAsia"/>
        </w:rPr>
        <w:t xml:space="preserve">The primary variable of interest in the Hickman specification is the interaction between </w:t>
      </w:r>
      <m:oMath>
        <m:r>
          <w:rPr>
            <w:rFonts w:ascii="Cambria Math" w:eastAsiaTheme="minorEastAsia" w:hAnsi="Cambria Math"/>
          </w:rPr>
          <m:t>HOPE</m:t>
        </m:r>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College</m:t>
        </m:r>
      </m:oMath>
      <w:r>
        <w:rPr>
          <w:rFonts w:eastAsiaTheme="minorEastAsia"/>
        </w:rPr>
        <w:t>.</w:t>
      </w:r>
      <w:r w:rsidR="00567F46">
        <w:rPr>
          <w:rFonts w:eastAsiaTheme="minorEastAsia"/>
        </w:rPr>
        <w:t xml:space="preserve"> </w:t>
      </w:r>
      <w:r>
        <w:rPr>
          <w:rFonts w:eastAsiaTheme="minorEastAsia"/>
        </w:rPr>
        <w:t xml:space="preserve">The </w:t>
      </w:r>
      <m:oMath>
        <m:r>
          <w:rPr>
            <w:rFonts w:ascii="Cambria Math" w:eastAsiaTheme="minorEastAsia" w:hAnsi="Cambria Math"/>
          </w:rPr>
          <m:t>δ</m:t>
        </m:r>
      </m:oMath>
      <w:r>
        <w:rPr>
          <w:rFonts w:eastAsiaTheme="minorEastAsia"/>
        </w:rPr>
        <w:t xml:space="preserve"> coefficient is intended to measure the effects of the merit scholarship on the post-college location </w:t>
      </w:r>
      <w:r>
        <w:rPr>
          <w:rFonts w:eastAsiaTheme="minorEastAsia"/>
        </w:rPr>
        <w:lastRenderedPageBreak/>
        <w:t xml:space="preserve">decisions of </w:t>
      </w:r>
      <w:proofErr w:type="gramStart"/>
      <w:r>
        <w:rPr>
          <w:rFonts w:eastAsiaTheme="minorEastAsia"/>
        </w:rPr>
        <w:t>individuals</w:t>
      </w:r>
      <w:proofErr w:type="gramEnd"/>
      <w:r>
        <w:rPr>
          <w:rFonts w:eastAsiaTheme="minorEastAsia"/>
        </w:rPr>
        <w:t xml:space="preserve"> who attended some college, i.e., it measures </w:t>
      </w:r>
      <w:r>
        <w:t>the effect of the treatment on the treated.</w:t>
      </w:r>
      <w:r w:rsidR="00567F46">
        <w:rPr>
          <w:rFonts w:eastAsiaTheme="minorEastAsia"/>
        </w:rPr>
        <w:t xml:space="preserve">  </w:t>
      </w:r>
    </w:p>
    <w:p w:rsidR="00D07DF9" w:rsidRDefault="00D07DF9" w:rsidP="0050112A">
      <w:pPr>
        <w:spacing w:line="480" w:lineRule="auto"/>
        <w:ind w:firstLine="720"/>
        <w:rPr>
          <w:rFonts w:eastAsiaTheme="minorEastAsia"/>
        </w:rPr>
      </w:pPr>
      <w:r>
        <w:rPr>
          <w:rFonts w:eastAsiaTheme="minorEastAsia"/>
        </w:rPr>
        <w:t>We next estimate a modified</w:t>
      </w:r>
      <w:r w:rsidR="00110DF0">
        <w:rPr>
          <w:rFonts w:eastAsiaTheme="minorEastAsia"/>
        </w:rPr>
        <w:t>-</w:t>
      </w:r>
      <w:r>
        <w:rPr>
          <w:rFonts w:eastAsiaTheme="minorEastAsia"/>
        </w:rPr>
        <w:t>Hickman specification that makes a few minor, but we believe reasonable changes.</w:t>
      </w:r>
      <w:r w:rsidR="00567F46">
        <w:rPr>
          <w:rFonts w:eastAsiaTheme="minorEastAsia"/>
        </w:rPr>
        <w:t xml:space="preserve"> </w:t>
      </w:r>
      <w:r>
        <w:rPr>
          <w:rFonts w:eastAsiaTheme="minorEastAsia"/>
        </w:rPr>
        <w:t>This specification is presented primarily to serve as a bridge to our third specification.</w:t>
      </w:r>
      <w:r w:rsidR="00567F46">
        <w:rPr>
          <w:rFonts w:eastAsiaTheme="minorEastAsia"/>
        </w:rPr>
        <w:t xml:space="preserve"> </w:t>
      </w:r>
      <w:r>
        <w:rPr>
          <w:rFonts w:eastAsiaTheme="minorEastAsia"/>
        </w:rPr>
        <w:t>First, the modified</w:t>
      </w:r>
      <w:r w:rsidR="00110DF0">
        <w:rPr>
          <w:rFonts w:eastAsiaTheme="minorEastAsia"/>
        </w:rPr>
        <w:t>-</w:t>
      </w:r>
      <w:r>
        <w:rPr>
          <w:rFonts w:eastAsiaTheme="minorEastAsia"/>
        </w:rPr>
        <w:t>Hickman specification expands the age range to 23-35</w:t>
      </w:r>
      <w:r w:rsidR="002A5BB3">
        <w:rPr>
          <w:rFonts w:eastAsiaTheme="minorEastAsia"/>
        </w:rPr>
        <w:t xml:space="preserve"> years</w:t>
      </w:r>
      <w:r>
        <w:rPr>
          <w:rFonts w:eastAsiaTheme="minorEastAsia"/>
        </w:rPr>
        <w:t xml:space="preserve"> because including a larger age group increases the precision of the estimates.</w:t>
      </w:r>
      <w:r w:rsidR="00567F46">
        <w:rPr>
          <w:rFonts w:eastAsiaTheme="minorEastAsia"/>
        </w:rPr>
        <w:t xml:space="preserve"> </w:t>
      </w:r>
      <w:r>
        <w:rPr>
          <w:rFonts w:eastAsiaTheme="minorEastAsia"/>
        </w:rPr>
        <w:t>The second modification is that we include in the sample veterans who are not currently on active-duty.</w:t>
      </w:r>
      <w:r w:rsidR="00567F46">
        <w:rPr>
          <w:rFonts w:eastAsiaTheme="minorEastAsia"/>
        </w:rPr>
        <w:t xml:space="preserve"> </w:t>
      </w:r>
      <w:r>
        <w:rPr>
          <w:rFonts w:eastAsiaTheme="minorEastAsia"/>
        </w:rPr>
        <w:t>Third, we use a full set of age dummies instead of a linear age term to allow for a non-parametric effect of age.</w:t>
      </w:r>
      <w:r w:rsidR="00567F46">
        <w:rPr>
          <w:rFonts w:eastAsiaTheme="minorEastAsia"/>
        </w:rPr>
        <w:t xml:space="preserve"> </w:t>
      </w:r>
      <w:r>
        <w:rPr>
          <w:rFonts w:eastAsiaTheme="minorEastAsia"/>
        </w:rPr>
        <w:t>Finally, we include a dummy variable for whether an individual’s race/ethnicity is “Other non-white”.</w:t>
      </w:r>
      <w:r w:rsidR="00567F46">
        <w:rPr>
          <w:rFonts w:eastAsiaTheme="minorEastAsia"/>
        </w:rPr>
        <w:t xml:space="preserve"> </w:t>
      </w:r>
      <w:r>
        <w:rPr>
          <w:rFonts w:eastAsiaTheme="minorEastAsia"/>
        </w:rPr>
        <w:t xml:space="preserve">The last three modifications are expected to have very minor effects but expanding the age range could alter the estimates if </w:t>
      </w:r>
      <w:r w:rsidR="00FA433F">
        <w:rPr>
          <w:rFonts w:eastAsiaTheme="minorEastAsia"/>
        </w:rPr>
        <w:t xml:space="preserve">effects </w:t>
      </w:r>
      <w:r>
        <w:rPr>
          <w:rFonts w:eastAsiaTheme="minorEastAsia"/>
        </w:rPr>
        <w:t>differ by age.</w:t>
      </w:r>
    </w:p>
    <w:p w:rsidR="00D07DF9" w:rsidRDefault="00D07DF9" w:rsidP="0050112A">
      <w:pPr>
        <w:spacing w:line="480" w:lineRule="auto"/>
        <w:ind w:firstLine="720"/>
        <w:rPr>
          <w:rFonts w:eastAsiaTheme="minorEastAsia"/>
        </w:rPr>
      </w:pPr>
      <w:r>
        <w:rPr>
          <w:rFonts w:eastAsiaTheme="minorEastAsia"/>
        </w:rPr>
        <w:t>Our third</w:t>
      </w:r>
      <w:r w:rsidR="00452901">
        <w:rPr>
          <w:rFonts w:eastAsiaTheme="minorEastAsia"/>
        </w:rPr>
        <w:t xml:space="preserve"> and fourth</w:t>
      </w:r>
      <w:r>
        <w:rPr>
          <w:rFonts w:eastAsiaTheme="minorEastAsia"/>
        </w:rPr>
        <w:t xml:space="preserve"> PUMS specification</w:t>
      </w:r>
      <w:r w:rsidR="00452901">
        <w:rPr>
          <w:rFonts w:eastAsiaTheme="minorEastAsia"/>
        </w:rPr>
        <w:t>s</w:t>
      </w:r>
      <w:r>
        <w:rPr>
          <w:rFonts w:eastAsiaTheme="minorEastAsia"/>
        </w:rPr>
        <w:t xml:space="preserve"> follow the basic procedure outlined in Sjoquist and </w:t>
      </w:r>
      <w:proofErr w:type="gramStart"/>
      <w:r>
        <w:rPr>
          <w:rFonts w:eastAsiaTheme="minorEastAsia"/>
        </w:rPr>
        <w:t>Winters</w:t>
      </w:r>
      <w:proofErr w:type="gramEnd"/>
      <w:r>
        <w:rPr>
          <w:rFonts w:eastAsiaTheme="minorEastAsia"/>
        </w:rPr>
        <w:t xml:space="preserve"> (2012b).</w:t>
      </w:r>
      <w:r w:rsidR="00567F46">
        <w:rPr>
          <w:rFonts w:eastAsiaTheme="minorEastAsia"/>
        </w:rPr>
        <w:t xml:space="preserve"> </w:t>
      </w:r>
      <w:r>
        <w:rPr>
          <w:rFonts w:eastAsiaTheme="minorEastAsia"/>
        </w:rPr>
        <w:t xml:space="preserve">Sjoquist and </w:t>
      </w:r>
      <w:proofErr w:type="gramStart"/>
      <w:r>
        <w:rPr>
          <w:rFonts w:eastAsiaTheme="minorEastAsia"/>
        </w:rPr>
        <w:t>Winters</w:t>
      </w:r>
      <w:proofErr w:type="gramEnd"/>
      <w:r>
        <w:rPr>
          <w:rFonts w:eastAsiaTheme="minorEastAsia"/>
        </w:rPr>
        <w:t xml:space="preserve"> (2012b) argue that persons not attending college are a poor control group for college attendees</w:t>
      </w:r>
      <w:r w:rsidR="00110DF0">
        <w:rPr>
          <w:rFonts w:eastAsiaTheme="minorEastAsia"/>
        </w:rPr>
        <w:t>, and</w:t>
      </w:r>
      <w:r>
        <w:rPr>
          <w:rFonts w:eastAsiaTheme="minorEastAsia"/>
        </w:rPr>
        <w:t xml:space="preserve"> suggest that a more relevant control group for a difference in difference specification is college attendees in other states.</w:t>
      </w:r>
      <w:r w:rsidR="00567F46">
        <w:rPr>
          <w:rFonts w:eastAsiaTheme="minorEastAsia"/>
        </w:rPr>
        <w:t xml:space="preserve"> </w:t>
      </w:r>
      <w:r>
        <w:rPr>
          <w:rFonts w:eastAsiaTheme="minorEastAsia"/>
        </w:rPr>
        <w:t>Our Sjoquist-Winters specification limits the sample to persons who have attended at least some college but includes persons born in control states.</w:t>
      </w:r>
      <w:r w:rsidR="007A7FA4">
        <w:rPr>
          <w:rStyle w:val="FootnoteReference"/>
          <w:rFonts w:eastAsiaTheme="minorEastAsia"/>
        </w:rPr>
        <w:footnoteReference w:id="29"/>
      </w:r>
      <w:r w:rsidR="007A7FA4">
        <w:rPr>
          <w:rFonts w:eastAsiaTheme="minorEastAsia"/>
        </w:rPr>
        <w:t xml:space="preserve"> </w:t>
      </w:r>
      <w:r>
        <w:rPr>
          <w:rFonts w:eastAsiaTheme="minorEastAsia"/>
        </w:rPr>
        <w:t xml:space="preserve">The control states </w:t>
      </w:r>
      <w:r w:rsidR="00452901">
        <w:rPr>
          <w:rFonts w:eastAsiaTheme="minorEastAsia"/>
        </w:rPr>
        <w:t xml:space="preserve">for our third specification </w:t>
      </w:r>
      <w:r>
        <w:rPr>
          <w:rFonts w:eastAsiaTheme="minorEastAsia"/>
        </w:rPr>
        <w:t xml:space="preserve">include the 25 states plus D.C. listed in Sjoquist and </w:t>
      </w:r>
      <w:proofErr w:type="gramStart"/>
      <w:r>
        <w:rPr>
          <w:rFonts w:eastAsiaTheme="minorEastAsia"/>
        </w:rPr>
        <w:t>Winters</w:t>
      </w:r>
      <w:proofErr w:type="gramEnd"/>
      <w:r>
        <w:rPr>
          <w:rFonts w:eastAsiaTheme="minorEastAsia"/>
        </w:rPr>
        <w:t xml:space="preserve"> (2012b) that did not adopt a merit-based financial aid program between 1991 and 2004.</w:t>
      </w:r>
      <w:r w:rsidR="00567F46">
        <w:rPr>
          <w:rFonts w:eastAsiaTheme="minorEastAsia"/>
        </w:rPr>
        <w:t xml:space="preserve"> </w:t>
      </w:r>
      <w:r w:rsidR="00452901">
        <w:rPr>
          <w:rFonts w:eastAsiaTheme="minorEastAsia"/>
        </w:rPr>
        <w:t xml:space="preserve">The fourth specification is identical to the third except it limits the set of control states to non-merit states in the southern census region.  </w:t>
      </w:r>
      <w:r>
        <w:rPr>
          <w:rFonts w:eastAsiaTheme="minorEastAsia"/>
        </w:rPr>
        <w:t>The Sjoquist-Winters specification estimates the following equation:</w:t>
      </w:r>
    </w:p>
    <w:p w:rsidR="00D07DF9" w:rsidRPr="008C11A0" w:rsidRDefault="00D07DF9" w:rsidP="0050112A">
      <w:pPr>
        <w:spacing w:line="480" w:lineRule="auto"/>
        <w:ind w:firstLine="720"/>
        <w:rPr>
          <w:i/>
        </w:rPr>
      </w:pPr>
      <m:oMath>
        <m:r>
          <w:rPr>
            <w:rFonts w:ascii="Cambria Math" w:hAnsi="Cambria Math"/>
          </w:rPr>
          <w:lastRenderedPageBreak/>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ist</m:t>
                </m:r>
              </m:sub>
            </m:sSub>
            <m:r>
              <w:rPr>
                <w:rFonts w:ascii="Cambria Math" w:hAnsi="Cambria Math"/>
              </w:rPr>
              <m:t>=1</m:t>
            </m:r>
          </m:e>
        </m:d>
        <m:r>
          <w:rPr>
            <w:rFonts w:ascii="Cambria Math" w:hAnsi="Cambria Math"/>
          </w:rPr>
          <m:t>=α+</m:t>
        </m:r>
        <m:sSub>
          <m:sSubPr>
            <m:ctrlPr>
              <w:rPr>
                <w:rFonts w:ascii="Cambria Math" w:eastAsiaTheme="minorEastAsia" w:hAnsi="Cambria Math"/>
                <w:i/>
              </w:rPr>
            </m:ctrlPr>
          </m:sSubPr>
          <m:e>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HOPE</m:t>
                </m:r>
              </m:e>
              <m:sub>
                <m:r>
                  <w:rPr>
                    <w:rFonts w:ascii="Cambria Math" w:eastAsiaTheme="minorEastAsia" w:hAnsi="Cambria Math"/>
                  </w:rPr>
                  <m:t>st</m:t>
                </m:r>
              </m:sub>
            </m:sSub>
            <m:r>
              <w:rPr>
                <w:rFonts w:ascii="Cambria Math" w:eastAsiaTheme="minorEastAsia" w:hAnsi="Cambria Math"/>
              </w:rPr>
              <m:t>+</m:t>
            </m:r>
            <m:r>
              <m:rPr>
                <m:sty m:val="p"/>
              </m:rPr>
              <w:rPr>
                <w:rFonts w:ascii="Cambria Math" w:eastAsiaTheme="minorEastAsia" w:hAnsi="Cambria Math"/>
              </w:rPr>
              <m:t>Γ</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Π</m:t>
            </m:r>
          </m:e>
          <m:sub>
            <m:r>
              <w:rPr>
                <w:rFonts w:ascii="Cambria Math" w:eastAsiaTheme="minorEastAsia" w:hAnsi="Cambria Math"/>
              </w:rPr>
              <m:t>t</m:t>
            </m:r>
          </m:sub>
        </m:sSub>
        <m:r>
          <w:rPr>
            <w:rFonts w:ascii="Cambria Math" w:eastAsiaTheme="minorEastAsia" w:hAnsi="Cambria Math"/>
          </w:rPr>
          <m:t>+β</m:t>
        </m:r>
        <m:sSub>
          <m:sSubPr>
            <m:ctrlPr>
              <w:rPr>
                <w:rFonts w:ascii="Cambria Math" w:hAnsi="Cambria Math"/>
                <w:i/>
              </w:rPr>
            </m:ctrlPr>
          </m:sSubPr>
          <m:e>
            <m:r>
              <w:rPr>
                <w:rFonts w:ascii="Cambria Math" w:hAnsi="Cambria Math"/>
              </w:rPr>
              <m:t>X</m:t>
            </m:r>
          </m:e>
          <m:sub>
            <m:r>
              <w:rPr>
                <w:rFonts w:ascii="Cambria Math" w:hAnsi="Cambria Math"/>
              </w:rPr>
              <m:t>ist</m:t>
            </m:r>
          </m:sub>
        </m:sSub>
        <m:r>
          <w:rPr>
            <w:rFonts w:ascii="Cambria Math" w:eastAsiaTheme="minorEastAsia" w:hAnsi="Cambria Math"/>
          </w:rPr>
          <m:t>+</m:t>
        </m:r>
        <m:sSub>
          <m:sSubPr>
            <m:ctrlPr>
              <w:rPr>
                <w:rFonts w:ascii="Cambria Math" w:hAnsi="Cambria Math"/>
                <w:i/>
              </w:rPr>
            </m:ctrlPr>
          </m:sSubPr>
          <m:e>
            <m:r>
              <w:rPr>
                <w:rFonts w:ascii="Cambria Math" w:hAnsi="Cambria Math"/>
              </w:rPr>
              <m:t>ε</m:t>
            </m:r>
          </m:e>
          <m:sub>
            <m:r>
              <w:rPr>
                <w:rFonts w:ascii="Cambria Math" w:hAnsi="Cambria Math"/>
              </w:rPr>
              <m:t>ist</m:t>
            </m:r>
          </m:sub>
        </m:sSub>
      </m:oMath>
      <w:r w:rsidRPr="006E5740">
        <w:rPr>
          <w:rFonts w:eastAsiaTheme="minorEastAsia"/>
        </w:rPr>
        <w:t>,</w:t>
      </w:r>
    </w:p>
    <w:p w:rsidR="00D07DF9" w:rsidRDefault="00D07DF9" w:rsidP="0050112A">
      <w:pPr>
        <w:spacing w:line="480" w:lineRule="auto"/>
        <w:rPr>
          <w:rFonts w:eastAsiaTheme="minorEastAsia"/>
        </w:rPr>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ist</m:t>
            </m:r>
          </m:sub>
        </m:sSub>
      </m:oMath>
      <w:r>
        <w:t xml:space="preserve"> </w:t>
      </w:r>
      <w:r>
        <w:rPr>
          <w:rFonts w:eastAsiaTheme="minorEastAsia"/>
        </w:rPr>
        <w:t xml:space="preserve">equals one if individual </w:t>
      </w:r>
      <m:oMath>
        <m:r>
          <w:rPr>
            <w:rFonts w:ascii="Cambria Math" w:eastAsiaTheme="minorEastAsia" w:hAnsi="Cambria Math"/>
          </w:rPr>
          <m:t>i</m:t>
        </m:r>
      </m:oMath>
      <w:r>
        <w:rPr>
          <w:rFonts w:eastAsiaTheme="minorEastAsia"/>
        </w:rPr>
        <w:t xml:space="preserve"> lives in </w:t>
      </w:r>
      <w:r w:rsidR="0071096F">
        <w:rPr>
          <w:rFonts w:eastAsiaTheme="minorEastAsia"/>
        </w:rPr>
        <w:t xml:space="preserve">their </w:t>
      </w:r>
      <w:r>
        <w:rPr>
          <w:rFonts w:eastAsiaTheme="minorEastAsia"/>
        </w:rPr>
        <w:t xml:space="preserve">state of birth </w:t>
      </w:r>
      <m:oMath>
        <m:r>
          <w:rPr>
            <w:rFonts w:ascii="Cambria Math" w:eastAsiaTheme="minorEastAsia" w:hAnsi="Cambria Math"/>
          </w:rPr>
          <m:t>s</m:t>
        </m:r>
      </m:oMath>
      <w:r>
        <w:rPr>
          <w:rFonts w:eastAsiaTheme="minorEastAsia"/>
        </w:rPr>
        <w:t xml:space="preserve"> in year </w:t>
      </w:r>
      <m:oMath>
        <m:r>
          <w:rPr>
            <w:rFonts w:ascii="Cambria Math" w:eastAsiaTheme="minorEastAsia" w:hAnsi="Cambria Math"/>
          </w:rPr>
          <m:t>t</m:t>
        </m:r>
      </m:oMath>
      <w:r>
        <w:rPr>
          <w:rFonts w:eastAsiaTheme="minorEastAsia"/>
        </w:rPr>
        <w:t xml:space="preserve">, </w:t>
      </w:r>
      <m:oMath>
        <m:r>
          <w:rPr>
            <w:rFonts w:ascii="Cambria Math" w:eastAsiaTheme="minorEastAsia" w:hAnsi="Cambria Math"/>
          </w:rPr>
          <m:t>HOPE</m:t>
        </m:r>
      </m:oMath>
      <w:r>
        <w:rPr>
          <w:rFonts w:eastAsiaTheme="minorEastAsia"/>
        </w:rPr>
        <w:t xml:space="preserve"> is a dummy equal to one for persons born in Georgia who turn 18 after 1993, </w:t>
      </w:r>
      <m:oMath>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s</m:t>
            </m:r>
          </m:sub>
        </m:sSub>
      </m:oMath>
      <w:r>
        <w:rPr>
          <w:rFonts w:eastAsiaTheme="minorEastAsia"/>
        </w:rPr>
        <w:t xml:space="preserve"> consists of state of birth fixed effects, </w:t>
      </w:r>
      <m:oMath>
        <m:sSub>
          <m:sSubPr>
            <m:ctrlPr>
              <w:rPr>
                <w:rFonts w:ascii="Cambria Math" w:eastAsiaTheme="minorEastAsia" w:hAnsi="Cambria Math"/>
                <w:i/>
              </w:rPr>
            </m:ctrlPr>
          </m:sSubPr>
          <m:e>
            <m:r>
              <m:rPr>
                <m:sty m:val="p"/>
              </m:rPr>
              <w:rPr>
                <w:rFonts w:ascii="Cambria Math" w:eastAsiaTheme="minorEastAsia" w:hAnsi="Cambria Math"/>
              </w:rPr>
              <m:t>Π</m:t>
            </m:r>
          </m:e>
          <m:sub>
            <m:r>
              <w:rPr>
                <w:rFonts w:ascii="Cambria Math" w:eastAsiaTheme="minorEastAsia" w:hAnsi="Cambria Math"/>
              </w:rPr>
              <m:t>t</m:t>
            </m:r>
          </m:sub>
        </m:sSub>
      </m:oMath>
      <w:r>
        <w:rPr>
          <w:rFonts w:eastAsiaTheme="minorEastAsia"/>
        </w:rPr>
        <w:t xml:space="preserve"> consists of year of birth fixed effects, and </w:t>
      </w:r>
      <m:oMath>
        <m:r>
          <w:rPr>
            <w:rFonts w:ascii="Cambria Math" w:hAnsi="Cambria Math"/>
          </w:rPr>
          <m:t>X</m:t>
        </m:r>
      </m:oMath>
      <w:r>
        <w:rPr>
          <w:rFonts w:eastAsiaTheme="minorEastAsia"/>
        </w:rPr>
        <w:t xml:space="preserve"> includes the same individual characteristics as in the modified Hickman specification.</w:t>
      </w:r>
      <w:r w:rsidR="00567F46">
        <w:rPr>
          <w:rFonts w:eastAsiaTheme="minorEastAsia"/>
        </w:rPr>
        <w:t xml:space="preserve"> </w:t>
      </w:r>
      <w:r>
        <w:rPr>
          <w:rFonts w:eastAsiaTheme="minorEastAsia"/>
        </w:rPr>
        <w:t>State and year of birth fixed effects allow the equation to be interpreted as a difference in differences model identified based on differences across birth states and across birth cohorts within birth states.</w:t>
      </w:r>
      <w:r w:rsidR="00567F46">
        <w:rPr>
          <w:rFonts w:eastAsiaTheme="minorEastAsia"/>
        </w:rPr>
        <w:t xml:space="preserve"> </w:t>
      </w:r>
      <w:r>
        <w:rPr>
          <w:rFonts w:eastAsiaTheme="minorEastAsia"/>
        </w:rPr>
        <w:t xml:space="preserve">Since the Sjoquist-Winters specification sample is restricted to those with at least some college, we do not include a </w:t>
      </w:r>
      <m:oMath>
        <m:r>
          <w:rPr>
            <w:rFonts w:ascii="Cambria Math" w:eastAsiaTheme="minorEastAsia" w:hAnsi="Cambria Math"/>
          </w:rPr>
          <m:t>College</m:t>
        </m:r>
      </m:oMath>
      <w:r>
        <w:rPr>
          <w:rFonts w:eastAsiaTheme="minorEastAsia"/>
        </w:rPr>
        <w:t xml:space="preserve"> dummy or an interaction term between </w:t>
      </w:r>
      <m:oMath>
        <m:r>
          <w:rPr>
            <w:rFonts w:ascii="Cambria Math" w:eastAsiaTheme="minorEastAsia" w:hAnsi="Cambria Math"/>
          </w:rPr>
          <m:t>HOPE</m:t>
        </m:r>
      </m:oMath>
      <w:r>
        <w:rPr>
          <w:rFonts w:eastAsiaTheme="minorEastAsia"/>
        </w:rPr>
        <w:t xml:space="preserve"> and </w:t>
      </w:r>
      <m:oMath>
        <m:r>
          <w:rPr>
            <w:rFonts w:ascii="Cambria Math" w:eastAsiaTheme="minorEastAsia" w:hAnsi="Cambria Math"/>
          </w:rPr>
          <m:t>College</m:t>
        </m:r>
      </m:oMath>
      <w:r>
        <w:rPr>
          <w:rFonts w:eastAsiaTheme="minorEastAsia"/>
        </w:rPr>
        <w:t xml:space="preserve"> since these would be collinear with the constant and the </w:t>
      </w:r>
      <m:oMath>
        <m:r>
          <w:rPr>
            <w:rFonts w:ascii="Cambria Math" w:eastAsiaTheme="minorEastAsia" w:hAnsi="Cambria Math"/>
          </w:rPr>
          <m:t>HOPE</m:t>
        </m:r>
      </m:oMath>
      <w:r>
        <w:rPr>
          <w:rFonts w:eastAsiaTheme="minorEastAsia"/>
        </w:rPr>
        <w:t xml:space="preserve"> dummy.</w:t>
      </w:r>
      <w:r w:rsidR="00567F46">
        <w:rPr>
          <w:rFonts w:eastAsiaTheme="minorEastAsia"/>
        </w:rPr>
        <w:t xml:space="preserve"> </w:t>
      </w:r>
      <w:r>
        <w:rPr>
          <w:rFonts w:eastAsiaTheme="minorEastAsia"/>
        </w:rPr>
        <w:t xml:space="preserve">The variable of interest is now the HOPE dummy and </w:t>
      </w:r>
      <m:oMath>
        <m:r>
          <w:rPr>
            <w:rFonts w:ascii="Cambria Math" w:eastAsiaTheme="minorEastAsia" w:hAnsi="Cambria Math"/>
          </w:rPr>
          <m:t>δ</m:t>
        </m:r>
      </m:oMath>
      <w:r>
        <w:rPr>
          <w:rFonts w:eastAsiaTheme="minorEastAsia"/>
        </w:rPr>
        <w:t xml:space="preserve"> is again the coefficient of interest; it measures the effects of HOPE on whether individuals who attended some college live in Georgia after college, i.e., </w:t>
      </w:r>
      <w:r>
        <w:t>the effect of the treatment on the treated.</w:t>
      </w:r>
    </w:p>
    <w:p w:rsidR="00D07DF9" w:rsidRDefault="00D07DF9" w:rsidP="0050112A">
      <w:pPr>
        <w:spacing w:line="480" w:lineRule="auto"/>
        <w:rPr>
          <w:b/>
        </w:rPr>
      </w:pPr>
    </w:p>
    <w:p w:rsidR="00D07DF9" w:rsidRPr="00C30EF0" w:rsidRDefault="00D07DF9" w:rsidP="0050112A">
      <w:pPr>
        <w:spacing w:line="480" w:lineRule="auto"/>
        <w:rPr>
          <w:b/>
        </w:rPr>
      </w:pPr>
      <w:r>
        <w:rPr>
          <w:b/>
        </w:rPr>
        <w:t>VII</w:t>
      </w:r>
      <w:r w:rsidRPr="00C30EF0">
        <w:rPr>
          <w:b/>
        </w:rPr>
        <w:t xml:space="preserve">. Empirical </w:t>
      </w:r>
      <w:r>
        <w:rPr>
          <w:b/>
        </w:rPr>
        <w:t>Results</w:t>
      </w:r>
      <w:r w:rsidRPr="00C30EF0">
        <w:rPr>
          <w:b/>
        </w:rPr>
        <w:t xml:space="preserve"> for PUMS Analysis</w:t>
      </w:r>
    </w:p>
    <w:p w:rsidR="00D07DF9" w:rsidRDefault="00D07DF9" w:rsidP="0050112A">
      <w:pPr>
        <w:spacing w:line="480" w:lineRule="auto"/>
      </w:pPr>
      <w:r>
        <w:tab/>
        <w:t>The empirical results for our Census/ACS analysis are presented in Table 7.</w:t>
      </w:r>
      <w:r w:rsidR="00567F46">
        <w:t xml:space="preserve"> </w:t>
      </w:r>
      <w:r>
        <w:t xml:space="preserve">We only report the results for </w:t>
      </w:r>
      <w:proofErr w:type="gramStart"/>
      <w:r>
        <w:t xml:space="preserve">the </w:t>
      </w:r>
      <m:oMath>
        <m:r>
          <w:rPr>
            <w:rFonts w:ascii="Cambria Math" w:hAnsi="Cambria Math"/>
          </w:rPr>
          <m:t>HOPE</m:t>
        </m:r>
      </m:oMath>
      <w:r>
        <w:t xml:space="preserve"> and</w:t>
      </w:r>
      <w:proofErr w:type="gramEnd"/>
      <w:r>
        <w:t xml:space="preserve"> </w:t>
      </w:r>
      <m:oMath>
        <m:r>
          <w:rPr>
            <w:rFonts w:ascii="Cambria Math" w:hAnsi="Cambria Math"/>
          </w:rPr>
          <m:t>HOPE</m:t>
        </m:r>
        <m:r>
          <w:rPr>
            <w:rFonts w:ascii="Cambria Math" w:eastAsiaTheme="minorEastAsia" w:hAnsi="Cambria Math"/>
          </w:rPr>
          <m:t>*College</m:t>
        </m:r>
      </m:oMath>
      <w:r>
        <w:rPr>
          <w:rFonts w:eastAsiaTheme="minorEastAsia"/>
        </w:rPr>
        <w:t xml:space="preserve"> variables but the results for the other variables are available by request.</w:t>
      </w:r>
      <w:r w:rsidR="00567F46">
        <w:rPr>
          <w:rFonts w:eastAsiaTheme="minorEastAsia"/>
        </w:rPr>
        <w:t xml:space="preserve"> </w:t>
      </w:r>
      <w:r>
        <w:t>Results for the Hickman specification and modified Hickman specification are presented in the first two columns and results for the Sjoquist-Winters specification</w:t>
      </w:r>
      <w:r w:rsidR="00452901">
        <w:t>s</w:t>
      </w:r>
      <w:r>
        <w:t xml:space="preserve"> are presented in the </w:t>
      </w:r>
      <w:r w:rsidR="00452901">
        <w:t xml:space="preserve">last two </w:t>
      </w:r>
      <w:r>
        <w:t>column</w:t>
      </w:r>
      <w:r w:rsidR="00452901">
        <w:t>s</w:t>
      </w:r>
      <w:r>
        <w:t>.</w:t>
      </w:r>
      <w:r w:rsidR="00567F46">
        <w:t xml:space="preserve"> </w:t>
      </w:r>
    </w:p>
    <w:p w:rsidR="00D07DF9" w:rsidRDefault="00D07DF9" w:rsidP="0050112A">
      <w:pPr>
        <w:spacing w:line="480" w:lineRule="auto"/>
        <w:ind w:firstLine="720"/>
      </w:pPr>
      <w:r>
        <w:t>The results in the first two columns are very similar.</w:t>
      </w:r>
      <w:r w:rsidR="00567F46">
        <w:t xml:space="preserve"> </w:t>
      </w:r>
      <w:r>
        <w:t xml:space="preserve">The </w:t>
      </w:r>
      <m:oMath>
        <m:r>
          <w:rPr>
            <w:rFonts w:ascii="Cambria Math" w:hAnsi="Cambria Math"/>
          </w:rPr>
          <m:t>HOPE</m:t>
        </m:r>
      </m:oMath>
      <w:r>
        <w:t xml:space="preserve"> coefficients of -0.0131 in the first column and -0.0102 in the second column measure the effects of HOPE on the post-college in-state retention of persons who never attended college.</w:t>
      </w:r>
      <w:r w:rsidR="00567F46">
        <w:t xml:space="preserve"> </w:t>
      </w:r>
      <w:r>
        <w:t xml:space="preserve">The magnitudes of the </w:t>
      </w:r>
      <w:r>
        <w:lastRenderedPageBreak/>
        <w:t>coefficients are relatively small as expected because th</w:t>
      </w:r>
      <w:r w:rsidR="00110DF0">
        <w:t xml:space="preserve">is measures the effect of </w:t>
      </w:r>
      <w:r>
        <w:t>HOPE</w:t>
      </w:r>
      <w:r w:rsidR="00110DF0">
        <w:t xml:space="preserve"> on those who did not attend college and hence could not have had a HOPE Scholarship</w:t>
      </w:r>
      <w:r>
        <w:t>.</w:t>
      </w:r>
      <w:r w:rsidR="00567F46">
        <w:t xml:space="preserve"> </w:t>
      </w:r>
      <w:r>
        <w:t>More interesting in the first two columns are the coefficients for the interaction term, which measure the effects of the treatment on the treated.</w:t>
      </w:r>
      <w:r w:rsidR="00567F46">
        <w:t xml:space="preserve"> </w:t>
      </w:r>
      <w:r>
        <w:t>These coefficients are nearly identical at 0.0358 in the first column and 0.0356 in the second column</w:t>
      </w:r>
      <w:r w:rsidR="00110DF0">
        <w:t>, implying that HOPE increased retention by 3.6 percentage points</w:t>
      </w:r>
      <w:r>
        <w:t>.</w:t>
      </w:r>
      <w:r w:rsidR="00567F46">
        <w:t xml:space="preserve"> </w:t>
      </w:r>
      <w:r>
        <w:t>These coefficients are also quite similar to Hickman’s coefficient estimate of 0.0339 for Florida.</w:t>
      </w:r>
      <w:r w:rsidR="00567F46">
        <w:t xml:space="preserve"> </w:t>
      </w:r>
      <w:r w:rsidR="002A5BB3">
        <w:t>All four of t</w:t>
      </w:r>
      <w:r>
        <w:t xml:space="preserve">he coefficients for the Hickman and modified Hickman specifications are statistically significant </w:t>
      </w:r>
      <w:r w:rsidR="002A5BB3">
        <w:t xml:space="preserve">at the 1 percent level </w:t>
      </w:r>
      <w:r>
        <w:t>using standard errors clustered by year of birth.</w:t>
      </w:r>
    </w:p>
    <w:p w:rsidR="00E32752" w:rsidRDefault="00D07DF9" w:rsidP="00D07DF9">
      <w:pPr>
        <w:spacing w:line="480" w:lineRule="auto"/>
        <w:ind w:firstLine="720"/>
      </w:pPr>
      <w:r>
        <w:t>The results for the Sjoquist-Winters specification</w:t>
      </w:r>
      <w:r w:rsidR="00452901">
        <w:t>s</w:t>
      </w:r>
      <w:r>
        <w:t xml:space="preserve"> in the third </w:t>
      </w:r>
      <w:r w:rsidR="00452901">
        <w:t xml:space="preserve">and fourth </w:t>
      </w:r>
      <w:r>
        <w:t>column</w:t>
      </w:r>
      <w:r w:rsidR="00452901">
        <w:t>s</w:t>
      </w:r>
      <w:r>
        <w:t xml:space="preserve"> are quite different from the results for the two Hickman specifications.</w:t>
      </w:r>
      <w:r w:rsidR="00567F46">
        <w:t xml:space="preserve"> </w:t>
      </w:r>
      <w:r>
        <w:t xml:space="preserve">Recall that the sample is now limited to persons attending at least some college, so the coefficient on the </w:t>
      </w:r>
      <m:oMath>
        <m:r>
          <w:rPr>
            <w:rFonts w:ascii="Cambria Math" w:hAnsi="Cambria Math"/>
          </w:rPr>
          <m:t>HOPE</m:t>
        </m:r>
      </m:oMath>
      <w:r>
        <w:t xml:space="preserve"> dummy now measures the effect of the treatment on the treated.</w:t>
      </w:r>
      <w:r w:rsidR="00567F46">
        <w:t xml:space="preserve"> </w:t>
      </w:r>
      <w:r>
        <w:t>The specification</w:t>
      </w:r>
      <w:r w:rsidR="00452901">
        <w:t xml:space="preserve"> in the third column</w:t>
      </w:r>
      <w:r>
        <w:t xml:space="preserve"> has a coefficient of -0.0013 which is very small and not distinguishable from zero.</w:t>
      </w:r>
      <w:r w:rsidR="00567F46">
        <w:t xml:space="preserve"> </w:t>
      </w:r>
      <w:r w:rsidR="00452901">
        <w:t xml:space="preserve">The fourth column, which limits the control states to the southern region, has a coefficient of 0.0068 that is also not statistically significant.  </w:t>
      </w:r>
      <w:r>
        <w:t>Thus the PUMS results for the effects of the Georgia HOPE Scholarship on post-college in-state retention meaningfully differ between the Hickman specification and the Sjoquist-Winters specification.</w:t>
      </w:r>
      <w:r w:rsidR="00567F46">
        <w:t xml:space="preserve"> </w:t>
      </w:r>
      <w:r>
        <w:t xml:space="preserve">The Hickman specification suggests a significantly positive effect while the Sjoquist-Winters specification </w:t>
      </w:r>
      <w:r w:rsidR="00452901">
        <w:t>suggests a small and insignificant</w:t>
      </w:r>
      <w:r>
        <w:t xml:space="preserve"> effect.</w:t>
      </w:r>
      <w:r>
        <w:rPr>
          <w:rStyle w:val="FootnoteReference"/>
        </w:rPr>
        <w:footnoteReference w:id="30"/>
      </w:r>
      <w:r w:rsidR="00567F46">
        <w:t xml:space="preserve"> </w:t>
      </w:r>
    </w:p>
    <w:p w:rsidR="00D07DF9" w:rsidRDefault="00E32752" w:rsidP="00D07DF9">
      <w:pPr>
        <w:spacing w:line="480" w:lineRule="auto"/>
        <w:ind w:firstLine="720"/>
      </w:pPr>
      <w:r>
        <w:t xml:space="preserve">Our preferred specification is </w:t>
      </w:r>
      <w:r w:rsidR="00D07DF9">
        <w:t>the Sjoquist-Winters specification.</w:t>
      </w:r>
      <w:r w:rsidR="00567F46">
        <w:t xml:space="preserve"> </w:t>
      </w:r>
      <w:r w:rsidR="00170EAA">
        <w:t>P</w:t>
      </w:r>
      <w:r w:rsidR="00D07DF9">
        <w:t>ersons who never attend college are not a good control group for persons who do attend college.</w:t>
      </w:r>
      <w:r w:rsidR="00567F46">
        <w:t xml:space="preserve"> </w:t>
      </w:r>
      <w:r w:rsidR="00D07DF9">
        <w:t>These two groups have very different labor market prospects and very different migration propensities.</w:t>
      </w:r>
      <w:r w:rsidR="00567F46">
        <w:t xml:space="preserve"> </w:t>
      </w:r>
      <w:r w:rsidR="00110DF0">
        <w:t xml:space="preserve">Furthermore, the decline in migration rates over the past three decades was much larger for high </w:t>
      </w:r>
      <w:r w:rsidR="00110DF0">
        <w:lastRenderedPageBreak/>
        <w:t>school graduates as compared to those with more than a high school degree</w:t>
      </w:r>
      <w:r w:rsidR="004F4161">
        <w:t xml:space="preserve"> (Molloy</w:t>
      </w:r>
      <w:r w:rsidR="00C75571">
        <w:t xml:space="preserve"> et al.</w:t>
      </w:r>
      <w:r w:rsidR="004F4161">
        <w:t xml:space="preserve"> 2011)</w:t>
      </w:r>
      <w:r w:rsidR="00110DF0">
        <w:t xml:space="preserve">. </w:t>
      </w:r>
      <w:r>
        <w:t>Thus, our</w:t>
      </w:r>
      <w:r w:rsidR="00D07DF9">
        <w:t xml:space="preserve"> preferred control group for college attendees born in Georgia is college attendees born in other states.</w:t>
      </w:r>
      <w:r w:rsidR="00567F46">
        <w:t xml:space="preserve"> </w:t>
      </w:r>
      <w:r>
        <w:t>Our preferred specification suggests that HOPE had no effect on post-college retention, measured by whether a student lives in Georgia after completing college education.</w:t>
      </w:r>
    </w:p>
    <w:p w:rsidR="00425D38" w:rsidRDefault="00425D38" w:rsidP="00D07DF9">
      <w:pPr>
        <w:spacing w:after="0" w:line="480" w:lineRule="auto"/>
        <w:rPr>
          <w:rFonts w:eastAsia="Calibri" w:cs="Times New Roman"/>
        </w:rPr>
      </w:pPr>
    </w:p>
    <w:p w:rsidR="001F1B6E" w:rsidRPr="00BB3A8E" w:rsidRDefault="00BB3A8E" w:rsidP="00BB3A8E">
      <w:pPr>
        <w:spacing w:line="480" w:lineRule="auto"/>
        <w:rPr>
          <w:rFonts w:cs="Times New Roman"/>
          <w:b/>
        </w:rPr>
      </w:pPr>
      <w:r>
        <w:rPr>
          <w:rFonts w:cs="Times New Roman"/>
          <w:b/>
        </w:rPr>
        <w:t xml:space="preserve">VIII. </w:t>
      </w:r>
      <w:r w:rsidR="001F1B6E" w:rsidRPr="00BB3A8E">
        <w:rPr>
          <w:rFonts w:cs="Times New Roman"/>
          <w:b/>
        </w:rPr>
        <w:t>Conclusion</w:t>
      </w:r>
    </w:p>
    <w:p w:rsidR="00801EA5" w:rsidRDefault="00DF5266" w:rsidP="00536186">
      <w:pPr>
        <w:spacing w:after="0" w:line="480" w:lineRule="auto"/>
        <w:ind w:firstLine="720"/>
        <w:rPr>
          <w:rFonts w:cs="Times New Roman"/>
        </w:rPr>
      </w:pPr>
      <w:r>
        <w:rPr>
          <w:rFonts w:cs="Times New Roman"/>
        </w:rPr>
        <w:t xml:space="preserve">Previous researchers have examined the effects of merit scholarship programs including Georgia’s HOPE Scholarship on a number of important variables, but the effects on </w:t>
      </w:r>
      <w:r w:rsidR="00363AD4">
        <w:rPr>
          <w:rFonts w:cs="Times New Roman"/>
        </w:rPr>
        <w:t>post-college</w:t>
      </w:r>
      <w:r>
        <w:rPr>
          <w:rFonts w:cs="Times New Roman"/>
        </w:rPr>
        <w:t xml:space="preserve"> retention have been largely overlooked</w:t>
      </w:r>
      <w:r w:rsidR="005046C9">
        <w:rPr>
          <w:rFonts w:cs="Times New Roman"/>
        </w:rPr>
        <w:t xml:space="preserve">. </w:t>
      </w:r>
      <w:r w:rsidR="009119BA">
        <w:rPr>
          <w:rFonts w:cs="Times New Roman"/>
        </w:rPr>
        <w:t>Merit scholar</w:t>
      </w:r>
      <w:r w:rsidR="003D6452">
        <w:rPr>
          <w:rFonts w:cs="Times New Roman"/>
        </w:rPr>
        <w:t>s</w:t>
      </w:r>
      <w:r w:rsidR="009119BA">
        <w:rPr>
          <w:rFonts w:cs="Times New Roman"/>
        </w:rPr>
        <w:t>hip programs such as HOPE alter the composition of college students in the state and are likely to affect the percentage of students who remain in the state after finishing college</w:t>
      </w:r>
      <w:r w:rsidR="005046C9">
        <w:rPr>
          <w:rFonts w:cs="Times New Roman"/>
        </w:rPr>
        <w:t>.</w:t>
      </w:r>
      <w:r w:rsidR="00567F46">
        <w:rPr>
          <w:rFonts w:cs="Times New Roman"/>
        </w:rPr>
        <w:t xml:space="preserve"> </w:t>
      </w:r>
      <w:r w:rsidR="00E32752">
        <w:rPr>
          <w:rFonts w:cs="Times New Roman"/>
        </w:rPr>
        <w:t>We estimate the effect of HOPE on post-college retention using two different approaches.</w:t>
      </w:r>
      <w:r w:rsidR="00567F46">
        <w:rPr>
          <w:rFonts w:cs="Times New Roman"/>
        </w:rPr>
        <w:t xml:space="preserve"> </w:t>
      </w:r>
      <w:r w:rsidR="00E32752">
        <w:rPr>
          <w:rFonts w:cs="Times New Roman"/>
        </w:rPr>
        <w:t xml:space="preserve">First, </w:t>
      </w:r>
      <w:r w:rsidR="00110DF0">
        <w:rPr>
          <w:rFonts w:cs="Times New Roman"/>
        </w:rPr>
        <w:t>we consider the case in which treatment is defined by whether the student received a HOPE Scholarship.</w:t>
      </w:r>
      <w:r w:rsidR="00567F46">
        <w:rPr>
          <w:rFonts w:cs="Times New Roman"/>
        </w:rPr>
        <w:t xml:space="preserve"> </w:t>
      </w:r>
      <w:r w:rsidR="00110DF0">
        <w:rPr>
          <w:rFonts w:cs="Times New Roman"/>
        </w:rPr>
        <w:t xml:space="preserve">For this case </w:t>
      </w:r>
      <w:r w:rsidR="00E32752">
        <w:rPr>
          <w:rFonts w:cs="Times New Roman"/>
        </w:rPr>
        <w:t>w</w:t>
      </w:r>
      <w:r>
        <w:rPr>
          <w:rFonts w:cs="Times New Roman"/>
        </w:rPr>
        <w:t xml:space="preserve">e combine </w:t>
      </w:r>
      <w:r w:rsidR="00536186">
        <w:rPr>
          <w:rFonts w:cs="Times New Roman"/>
        </w:rPr>
        <w:t xml:space="preserve">data from several sources including </w:t>
      </w:r>
      <w:r>
        <w:rPr>
          <w:rFonts w:cs="Times New Roman"/>
        </w:rPr>
        <w:t xml:space="preserve">administrative data from the University System of Georgia and the Georgia Department of Labor </w:t>
      </w:r>
      <w:r w:rsidR="007D55A2">
        <w:rPr>
          <w:rFonts w:cs="Times New Roman"/>
        </w:rPr>
        <w:t xml:space="preserve">for pre- and post-HOPE cohorts of freshmen </w:t>
      </w:r>
      <w:r w:rsidR="00536186">
        <w:rPr>
          <w:rFonts w:cs="Times New Roman"/>
        </w:rPr>
        <w:t xml:space="preserve">to examine changes in </w:t>
      </w:r>
      <w:r w:rsidR="00363AD4">
        <w:rPr>
          <w:rFonts w:cs="Times New Roman"/>
        </w:rPr>
        <w:t>post-college</w:t>
      </w:r>
      <w:r w:rsidR="00536186">
        <w:rPr>
          <w:rFonts w:cs="Times New Roman"/>
        </w:rPr>
        <w:t xml:space="preserve"> retention due to HOPE</w:t>
      </w:r>
      <w:r w:rsidR="005046C9">
        <w:rPr>
          <w:rFonts w:cs="Times New Roman"/>
        </w:rPr>
        <w:t xml:space="preserve">. </w:t>
      </w:r>
      <w:r>
        <w:rPr>
          <w:rFonts w:cs="Times New Roman"/>
        </w:rPr>
        <w:t xml:space="preserve">We define </w:t>
      </w:r>
      <w:r w:rsidR="00536186">
        <w:rPr>
          <w:rFonts w:cs="Times New Roman"/>
        </w:rPr>
        <w:t xml:space="preserve">retention </w:t>
      </w:r>
      <w:r>
        <w:rPr>
          <w:rFonts w:cs="Times New Roman"/>
        </w:rPr>
        <w:t>in Georgia by employment in the state several years after high school</w:t>
      </w:r>
      <w:r w:rsidR="005046C9">
        <w:rPr>
          <w:rFonts w:cs="Times New Roman"/>
        </w:rPr>
        <w:t xml:space="preserve">. </w:t>
      </w:r>
      <w:r w:rsidR="007D55A2">
        <w:rPr>
          <w:rFonts w:cs="Times New Roman"/>
        </w:rPr>
        <w:t xml:space="preserve">Since the GPA calculation </w:t>
      </w:r>
      <w:r w:rsidR="00801EA5">
        <w:rPr>
          <w:rFonts w:cs="Times New Roman"/>
        </w:rPr>
        <w:t xml:space="preserve">that would determine eligibility </w:t>
      </w:r>
      <w:r w:rsidR="007D55A2">
        <w:rPr>
          <w:rFonts w:cs="Times New Roman"/>
        </w:rPr>
        <w:t>for the pre-HOPE cohort that would allow us to do a traditional difference in differences regression</w:t>
      </w:r>
      <w:r w:rsidR="00801EA5">
        <w:rPr>
          <w:rFonts w:cs="Times New Roman"/>
        </w:rPr>
        <w:t xml:space="preserve"> does not exist</w:t>
      </w:r>
      <w:r w:rsidR="007D55A2">
        <w:rPr>
          <w:rFonts w:cs="Times New Roman"/>
        </w:rPr>
        <w:t xml:space="preserve">, we adopt several approaches to measuring the effect of HOPE on post-college retention. </w:t>
      </w:r>
    </w:p>
    <w:p w:rsidR="00801EA5" w:rsidRDefault="00801EA5" w:rsidP="00536186">
      <w:pPr>
        <w:spacing w:after="0" w:line="480" w:lineRule="auto"/>
        <w:ind w:firstLine="720"/>
        <w:rPr>
          <w:rFonts w:cs="Times New Roman"/>
        </w:rPr>
      </w:pPr>
      <w:r>
        <w:rPr>
          <w:rFonts w:cs="Times New Roman"/>
        </w:rPr>
        <w:t xml:space="preserve">A comparison of mean retention rates between pre- and post-HOPE </w:t>
      </w:r>
      <w:r w:rsidR="00884A6D">
        <w:rPr>
          <w:rFonts w:cs="Times New Roman"/>
        </w:rPr>
        <w:t xml:space="preserve">cohorts </w:t>
      </w:r>
      <w:r>
        <w:rPr>
          <w:rFonts w:cs="Times New Roman"/>
        </w:rPr>
        <w:t>suggest that HOPE reduced the</w:t>
      </w:r>
      <w:r w:rsidR="00884A6D">
        <w:rPr>
          <w:rFonts w:cs="Times New Roman"/>
        </w:rPr>
        <w:t xml:space="preserve"> overall</w:t>
      </w:r>
      <w:r>
        <w:rPr>
          <w:rFonts w:cs="Times New Roman"/>
        </w:rPr>
        <w:t xml:space="preserve"> retention rate </w:t>
      </w:r>
      <w:r w:rsidR="00DD539C">
        <w:rPr>
          <w:rFonts w:cs="Times New Roman"/>
        </w:rPr>
        <w:t xml:space="preserve">of USG students </w:t>
      </w:r>
      <w:r>
        <w:rPr>
          <w:rFonts w:cs="Times New Roman"/>
        </w:rPr>
        <w:t xml:space="preserve">by a </w:t>
      </w:r>
      <w:r w:rsidR="00884A6D">
        <w:rPr>
          <w:rFonts w:cs="Times New Roman"/>
        </w:rPr>
        <w:t xml:space="preserve">relatively </w:t>
      </w:r>
      <w:r>
        <w:rPr>
          <w:rFonts w:cs="Times New Roman"/>
        </w:rPr>
        <w:t>small amount</w:t>
      </w:r>
      <w:r w:rsidR="005046C9">
        <w:rPr>
          <w:rFonts w:cs="Times New Roman"/>
        </w:rPr>
        <w:t xml:space="preserve">. </w:t>
      </w:r>
      <w:r w:rsidR="00A22E10">
        <w:rPr>
          <w:rFonts w:cs="Times New Roman"/>
        </w:rPr>
        <w:t>W</w:t>
      </w:r>
      <w:r w:rsidR="00536186">
        <w:rPr>
          <w:rFonts w:cs="Times New Roman"/>
        </w:rPr>
        <w:t>hen we</w:t>
      </w:r>
      <w:r w:rsidR="00DF2122">
        <w:rPr>
          <w:rFonts w:cs="Times New Roman"/>
        </w:rPr>
        <w:t xml:space="preserve"> use SAT scores, core high school GPA, and other variables to predict the probability that </w:t>
      </w:r>
      <w:r w:rsidR="00DF2122">
        <w:rPr>
          <w:rFonts w:cs="Times New Roman"/>
        </w:rPr>
        <w:lastRenderedPageBreak/>
        <w:t xml:space="preserve">students would be eligible for HOPE if it were available, we find that </w:t>
      </w:r>
      <w:r w:rsidR="00363AD4">
        <w:rPr>
          <w:rFonts w:cs="Times New Roman"/>
        </w:rPr>
        <w:t>post-college</w:t>
      </w:r>
      <w:r w:rsidR="00A0586D">
        <w:rPr>
          <w:rFonts w:cs="Times New Roman"/>
        </w:rPr>
        <w:t xml:space="preserve"> </w:t>
      </w:r>
      <w:r w:rsidR="00DF2122">
        <w:rPr>
          <w:rFonts w:cs="Times New Roman"/>
        </w:rPr>
        <w:t xml:space="preserve">retention rates for students who were actually eligible for HOPE </w:t>
      </w:r>
      <w:r w:rsidR="00DD539C">
        <w:rPr>
          <w:rFonts w:cs="Times New Roman"/>
        </w:rPr>
        <w:t xml:space="preserve">and attended college in Georgia </w:t>
      </w:r>
      <w:r w:rsidR="00DF2122">
        <w:rPr>
          <w:rFonts w:cs="Times New Roman"/>
        </w:rPr>
        <w:t>were reduced by as much as 3.</w:t>
      </w:r>
      <w:r w:rsidR="006A2CA4">
        <w:rPr>
          <w:rFonts w:cs="Times New Roman"/>
        </w:rPr>
        <w:t xml:space="preserve">7 </w:t>
      </w:r>
      <w:r w:rsidR="00DF2122">
        <w:rPr>
          <w:rFonts w:cs="Times New Roman"/>
        </w:rPr>
        <w:t>percentage points</w:t>
      </w:r>
      <w:r w:rsidR="005046C9">
        <w:rPr>
          <w:rFonts w:cs="Times New Roman"/>
        </w:rPr>
        <w:t xml:space="preserve">. </w:t>
      </w:r>
      <w:r w:rsidR="004013A6">
        <w:rPr>
          <w:rFonts w:cs="Times New Roman"/>
        </w:rPr>
        <w:t xml:space="preserve">We also look at pre- and post-HOPE differences in retention by ability deciles </w:t>
      </w:r>
      <w:r w:rsidR="00A0586D">
        <w:rPr>
          <w:rFonts w:cs="Times New Roman"/>
        </w:rPr>
        <w:t>and find that the post-HOPE reduction in retention rates was largest for the highest ability students</w:t>
      </w:r>
      <w:r w:rsidR="005046C9">
        <w:rPr>
          <w:rFonts w:cs="Times New Roman"/>
        </w:rPr>
        <w:t xml:space="preserve">. </w:t>
      </w:r>
      <w:r>
        <w:rPr>
          <w:rFonts w:cs="Times New Roman"/>
        </w:rPr>
        <w:t>Given</w:t>
      </w:r>
      <w:r w:rsidR="00A0586D">
        <w:rPr>
          <w:rFonts w:cs="Times New Roman"/>
        </w:rPr>
        <w:t xml:space="preserve"> that</w:t>
      </w:r>
      <w:r w:rsidR="00F515E7">
        <w:rPr>
          <w:rFonts w:cs="Times New Roman"/>
        </w:rPr>
        <w:t xml:space="preserve"> HOPE altered the composition of students enrolled in the USG</w:t>
      </w:r>
      <w:r>
        <w:rPr>
          <w:rFonts w:cs="Times New Roman"/>
        </w:rPr>
        <w:t xml:space="preserve">, our results suggest </w:t>
      </w:r>
      <w:r w:rsidR="00F515E7">
        <w:rPr>
          <w:rFonts w:cs="Times New Roman"/>
        </w:rPr>
        <w:t xml:space="preserve">that </w:t>
      </w:r>
      <w:r w:rsidR="00A0586D">
        <w:rPr>
          <w:rFonts w:cs="Times New Roman"/>
        </w:rPr>
        <w:t xml:space="preserve">students who </w:t>
      </w:r>
      <w:r w:rsidR="00B04957">
        <w:rPr>
          <w:rFonts w:cs="Times New Roman"/>
        </w:rPr>
        <w:t>enrolled in the USG</w:t>
      </w:r>
      <w:r w:rsidR="00A0586D">
        <w:rPr>
          <w:rFonts w:cs="Times New Roman"/>
        </w:rPr>
        <w:t xml:space="preserve"> because of the HOPE Scholarship are less attached to living and working in the state after college than students who would have attended the USG regardless of HOPE</w:t>
      </w:r>
      <w:r w:rsidR="005046C9">
        <w:rPr>
          <w:rFonts w:cs="Times New Roman"/>
        </w:rPr>
        <w:t xml:space="preserve">. </w:t>
      </w:r>
    </w:p>
    <w:p w:rsidR="000C57D0" w:rsidRDefault="00E32752" w:rsidP="00536186">
      <w:pPr>
        <w:spacing w:after="0" w:line="480" w:lineRule="auto"/>
        <w:ind w:firstLine="720"/>
        <w:rPr>
          <w:rFonts w:cs="Times New Roman"/>
        </w:rPr>
      </w:pPr>
      <w:r>
        <w:rPr>
          <w:rFonts w:cs="Times New Roman"/>
        </w:rPr>
        <w:t>Our second</w:t>
      </w:r>
      <w:r w:rsidR="004E2296">
        <w:rPr>
          <w:rFonts w:cs="Times New Roman"/>
        </w:rPr>
        <w:t xml:space="preserve"> approach</w:t>
      </w:r>
      <w:r>
        <w:rPr>
          <w:rFonts w:cs="Times New Roman"/>
        </w:rPr>
        <w:t xml:space="preserve"> </w:t>
      </w:r>
      <w:r w:rsidR="00110DF0">
        <w:rPr>
          <w:rFonts w:cs="Times New Roman"/>
        </w:rPr>
        <w:t>considers the case in which treatment is defined by whether the student graduated from high school when the HOPE Scholarship was available.</w:t>
      </w:r>
      <w:r w:rsidR="00567F46">
        <w:rPr>
          <w:rFonts w:cs="Times New Roman"/>
        </w:rPr>
        <w:t xml:space="preserve"> </w:t>
      </w:r>
      <w:r w:rsidR="00110DF0">
        <w:rPr>
          <w:rFonts w:cs="Times New Roman"/>
        </w:rPr>
        <w:t xml:space="preserve">For this case we </w:t>
      </w:r>
      <w:r>
        <w:rPr>
          <w:rFonts w:cs="Times New Roman"/>
        </w:rPr>
        <w:t xml:space="preserve">follow the approach used by Hickman (2009) in his analysis of retention and by others </w:t>
      </w:r>
      <w:r w:rsidR="00BE2B90">
        <w:rPr>
          <w:rFonts w:cs="Times New Roman"/>
        </w:rPr>
        <w:t>such as Dynarski (</w:t>
      </w:r>
      <w:r w:rsidR="004E2296">
        <w:rPr>
          <w:rFonts w:cs="Times New Roman"/>
        </w:rPr>
        <w:t>2008</w:t>
      </w:r>
      <w:r w:rsidR="00BE2B90">
        <w:rPr>
          <w:rFonts w:cs="Times New Roman"/>
        </w:rPr>
        <w:t xml:space="preserve">) </w:t>
      </w:r>
      <w:r w:rsidR="001B2023">
        <w:rPr>
          <w:rFonts w:cs="Times New Roman"/>
        </w:rPr>
        <w:t>who</w:t>
      </w:r>
      <w:r w:rsidR="00BE2B90">
        <w:rPr>
          <w:rFonts w:cs="Times New Roman"/>
        </w:rPr>
        <w:t xml:space="preserve"> measure other effects of merit-aid</w:t>
      </w:r>
      <w:r w:rsidR="001B2023">
        <w:rPr>
          <w:rFonts w:cs="Times New Roman"/>
        </w:rPr>
        <w:t>, employing census and American Community Survey data</w:t>
      </w:r>
      <w:r w:rsidR="00BE2B90">
        <w:rPr>
          <w:rFonts w:cs="Times New Roman"/>
        </w:rPr>
        <w:t>.</w:t>
      </w:r>
      <w:r w:rsidR="00567F46">
        <w:rPr>
          <w:rFonts w:cs="Times New Roman"/>
        </w:rPr>
        <w:t xml:space="preserve"> </w:t>
      </w:r>
      <w:r w:rsidR="001B2023">
        <w:rPr>
          <w:rFonts w:cs="Times New Roman"/>
        </w:rPr>
        <w:t>Using non-college students as part of the control group suggests that retention increased by 3.36 percentage points due to HOPE.</w:t>
      </w:r>
      <w:r w:rsidR="00567F46">
        <w:rPr>
          <w:rFonts w:cs="Times New Roman"/>
        </w:rPr>
        <w:t xml:space="preserve"> </w:t>
      </w:r>
      <w:r w:rsidR="001B2023">
        <w:rPr>
          <w:rFonts w:cs="Times New Roman"/>
        </w:rPr>
        <w:t>However, our preferred specification, which only considers students with at least some college living in non-merit aid states as the control group yield</w:t>
      </w:r>
      <w:r w:rsidR="004E2296">
        <w:rPr>
          <w:rFonts w:cs="Times New Roman"/>
        </w:rPr>
        <w:t>s</w:t>
      </w:r>
      <w:r w:rsidR="001B2023">
        <w:rPr>
          <w:rFonts w:cs="Times New Roman"/>
        </w:rPr>
        <w:t xml:space="preserve"> </w:t>
      </w:r>
      <w:r w:rsidR="004F4161">
        <w:rPr>
          <w:rFonts w:cs="Times New Roman"/>
        </w:rPr>
        <w:t xml:space="preserve">a </w:t>
      </w:r>
      <w:r w:rsidR="001B2023">
        <w:rPr>
          <w:rFonts w:cs="Times New Roman"/>
        </w:rPr>
        <w:t xml:space="preserve">small </w:t>
      </w:r>
      <w:r w:rsidR="004F4161">
        <w:rPr>
          <w:rFonts w:cs="Times New Roman"/>
        </w:rPr>
        <w:t xml:space="preserve">coefficient </w:t>
      </w:r>
      <w:r w:rsidR="000B017F">
        <w:rPr>
          <w:rFonts w:cs="Times New Roman"/>
        </w:rPr>
        <w:t>that is not statistically significant</w:t>
      </w:r>
      <w:r w:rsidR="004F4161">
        <w:rPr>
          <w:rFonts w:cs="Times New Roman"/>
        </w:rPr>
        <w:t>.</w:t>
      </w:r>
      <w:r w:rsidR="00567F46">
        <w:rPr>
          <w:rFonts w:cs="Times New Roman"/>
        </w:rPr>
        <w:t xml:space="preserve"> </w:t>
      </w:r>
    </w:p>
    <w:p w:rsidR="00E32752" w:rsidRDefault="00E72BDD" w:rsidP="00536186">
      <w:pPr>
        <w:spacing w:after="0" w:line="480" w:lineRule="auto"/>
        <w:ind w:firstLine="720"/>
        <w:rPr>
          <w:rFonts w:cs="Times New Roman"/>
        </w:rPr>
      </w:pPr>
      <w:r>
        <w:rPr>
          <w:rFonts w:cs="Times New Roman"/>
        </w:rPr>
        <w:t xml:space="preserve">Together our two sets of results suggest that </w:t>
      </w:r>
      <w:r w:rsidR="000C57D0">
        <w:rPr>
          <w:rFonts w:cs="Times New Roman"/>
        </w:rPr>
        <w:t>HOPE kept many students in-state for college, but the students who attended college in Georgia because of HOPE were less attached to the state and more likely to leave after college.</w:t>
      </w:r>
      <w:r w:rsidR="00567F46">
        <w:rPr>
          <w:rFonts w:cs="Times New Roman"/>
        </w:rPr>
        <w:t xml:space="preserve"> </w:t>
      </w:r>
      <w:r w:rsidR="000C57D0">
        <w:rPr>
          <w:rFonts w:cs="Times New Roman"/>
        </w:rPr>
        <w:t>As a result, G</w:t>
      </w:r>
      <w:r>
        <w:rPr>
          <w:rFonts w:cs="Times New Roman"/>
        </w:rPr>
        <w:t>eorgia’s HOPE Scholarship</w:t>
      </w:r>
      <w:r w:rsidR="000C57D0">
        <w:rPr>
          <w:rFonts w:cs="Times New Roman"/>
        </w:rPr>
        <w:t xml:space="preserve"> Program</w:t>
      </w:r>
      <w:r>
        <w:rPr>
          <w:rFonts w:cs="Times New Roman"/>
        </w:rPr>
        <w:t xml:space="preserve"> did not </w:t>
      </w:r>
      <w:r w:rsidR="000C57D0">
        <w:rPr>
          <w:rFonts w:cs="Times New Roman"/>
        </w:rPr>
        <w:t>increase the percentage of the state’s college-bound high school students who remain in the state after college.</w:t>
      </w:r>
      <w:r w:rsidR="00567F46">
        <w:rPr>
          <w:rFonts w:cs="Times New Roman"/>
        </w:rPr>
        <w:t xml:space="preserve"> </w:t>
      </w:r>
      <w:r w:rsidR="00723CDE">
        <w:rPr>
          <w:rFonts w:cs="Times New Roman"/>
        </w:rPr>
        <w:t xml:space="preserve">These results have policy implications for Georgia and other states that have adopted or considered adopting merit-based financial aid programs since the </w:t>
      </w:r>
      <w:r w:rsidR="002A5BB3">
        <w:rPr>
          <w:rFonts w:cs="Times New Roman"/>
        </w:rPr>
        <w:lastRenderedPageBreak/>
        <w:t xml:space="preserve">public </w:t>
      </w:r>
      <w:r w:rsidR="00723CDE">
        <w:rPr>
          <w:rFonts w:cs="Times New Roman"/>
        </w:rPr>
        <w:t>benefits to states of investing in students are largely contingent on keeping them in the state’s workforce after college.</w:t>
      </w:r>
      <w:r w:rsidR="00567F46">
        <w:rPr>
          <w:rFonts w:cs="Times New Roman"/>
        </w:rPr>
        <w:t xml:space="preserve">  </w:t>
      </w:r>
    </w:p>
    <w:p w:rsidR="004F4161" w:rsidRDefault="004F4161" w:rsidP="00536186">
      <w:pPr>
        <w:spacing w:after="0" w:line="480" w:lineRule="auto"/>
        <w:ind w:firstLine="720"/>
        <w:rPr>
          <w:rFonts w:cs="Times New Roman"/>
        </w:rPr>
      </w:pPr>
    </w:p>
    <w:p w:rsidR="00801EA5" w:rsidRDefault="00801EA5" w:rsidP="00536186">
      <w:pPr>
        <w:spacing w:after="0" w:line="480" w:lineRule="auto"/>
        <w:ind w:firstLine="720"/>
        <w:rPr>
          <w:rFonts w:cs="Times New Roman"/>
        </w:rPr>
      </w:pPr>
    </w:p>
    <w:p w:rsidR="00252472" w:rsidRDefault="00252472">
      <w:pPr>
        <w:spacing w:line="276" w:lineRule="auto"/>
        <w:contextualSpacing w:val="0"/>
        <w:rPr>
          <w:b/>
        </w:rPr>
      </w:pPr>
      <w:r>
        <w:rPr>
          <w:b/>
        </w:rPr>
        <w:br w:type="page"/>
      </w:r>
    </w:p>
    <w:p w:rsidR="00D269C6" w:rsidRDefault="00C10AF5" w:rsidP="00536186">
      <w:pPr>
        <w:spacing w:line="276" w:lineRule="auto"/>
        <w:contextualSpacing w:val="0"/>
        <w:rPr>
          <w:b/>
        </w:rPr>
      </w:pPr>
      <w:r w:rsidRPr="00F243EE">
        <w:rPr>
          <w:b/>
        </w:rPr>
        <w:lastRenderedPageBreak/>
        <w:t>References</w:t>
      </w:r>
    </w:p>
    <w:p w:rsidR="00C10AF5" w:rsidRDefault="00C10AF5" w:rsidP="006A24EF"/>
    <w:p w:rsidR="00433414" w:rsidRDefault="00433414" w:rsidP="000B23CD">
      <w:pPr>
        <w:autoSpaceDE w:val="0"/>
        <w:autoSpaceDN w:val="0"/>
        <w:adjustRightInd w:val="0"/>
        <w:ind w:left="720" w:hanging="720"/>
        <w:rPr>
          <w:rFonts w:cs="Times New Roman"/>
          <w:szCs w:val="24"/>
        </w:rPr>
      </w:pPr>
      <w:r w:rsidRPr="002D6046">
        <w:rPr>
          <w:rFonts w:cs="Times New Roman"/>
          <w:szCs w:val="24"/>
        </w:rPr>
        <w:t>Abel, J</w:t>
      </w:r>
      <w:r w:rsidR="00222280">
        <w:rPr>
          <w:rFonts w:cs="Times New Roman"/>
          <w:szCs w:val="24"/>
        </w:rPr>
        <w:t>.</w:t>
      </w:r>
      <w:r w:rsidRPr="002D6046">
        <w:rPr>
          <w:rFonts w:cs="Times New Roman"/>
          <w:szCs w:val="24"/>
        </w:rPr>
        <w:t>R.,</w:t>
      </w:r>
      <w:r>
        <w:rPr>
          <w:rFonts w:cs="Times New Roman"/>
          <w:szCs w:val="24"/>
        </w:rPr>
        <w:t xml:space="preserve"> and </w:t>
      </w:r>
      <w:proofErr w:type="spellStart"/>
      <w:r>
        <w:rPr>
          <w:rFonts w:cs="Times New Roman"/>
          <w:szCs w:val="24"/>
        </w:rPr>
        <w:t>Deitz</w:t>
      </w:r>
      <w:proofErr w:type="spellEnd"/>
      <w:r w:rsidR="00222280">
        <w:rPr>
          <w:rFonts w:cs="Times New Roman"/>
          <w:szCs w:val="24"/>
        </w:rPr>
        <w:t>, R</w:t>
      </w:r>
      <w:r>
        <w:rPr>
          <w:rFonts w:cs="Times New Roman"/>
          <w:szCs w:val="24"/>
        </w:rPr>
        <w:t>.</w:t>
      </w:r>
      <w:r w:rsidR="00222280">
        <w:rPr>
          <w:rFonts w:cs="Times New Roman"/>
          <w:szCs w:val="24"/>
        </w:rPr>
        <w:t>,</w:t>
      </w:r>
      <w:r>
        <w:rPr>
          <w:rFonts w:cs="Times New Roman"/>
          <w:szCs w:val="24"/>
        </w:rPr>
        <w:t xml:space="preserve"> </w:t>
      </w:r>
      <w:r w:rsidR="00B90BCF">
        <w:rPr>
          <w:rFonts w:cs="Times New Roman"/>
          <w:szCs w:val="24"/>
        </w:rPr>
        <w:t>2012</w:t>
      </w:r>
      <w:r>
        <w:rPr>
          <w:rFonts w:cs="Times New Roman"/>
          <w:szCs w:val="24"/>
        </w:rPr>
        <w:t>.</w:t>
      </w:r>
      <w:r w:rsidRPr="002D6046">
        <w:rPr>
          <w:rFonts w:cs="Times New Roman"/>
          <w:szCs w:val="24"/>
        </w:rPr>
        <w:t xml:space="preserve"> Do colleges and universities increase their</w:t>
      </w:r>
      <w:r>
        <w:rPr>
          <w:rFonts w:cs="Times New Roman"/>
          <w:szCs w:val="24"/>
        </w:rPr>
        <w:t xml:space="preserve"> </w:t>
      </w:r>
      <w:r w:rsidRPr="002D6046">
        <w:rPr>
          <w:rFonts w:cs="Times New Roman"/>
          <w:szCs w:val="24"/>
        </w:rPr>
        <w:t xml:space="preserve">region’s human capital? </w:t>
      </w:r>
      <w:r w:rsidRPr="008A5776">
        <w:rPr>
          <w:rFonts w:cs="Times New Roman"/>
          <w:szCs w:val="24"/>
        </w:rPr>
        <w:t>Journal of Economic Geography</w:t>
      </w:r>
      <w:r w:rsidR="00B90BCF">
        <w:rPr>
          <w:rFonts w:cs="Times New Roman"/>
          <w:szCs w:val="24"/>
        </w:rPr>
        <w:t xml:space="preserve"> 12(3): </w:t>
      </w:r>
      <w:r w:rsidR="00B12B29">
        <w:rPr>
          <w:rFonts w:cs="Times New Roman"/>
          <w:szCs w:val="24"/>
        </w:rPr>
        <w:t>667-691</w:t>
      </w:r>
      <w:r w:rsidRPr="002D6046">
        <w:rPr>
          <w:rFonts w:cs="Times New Roman"/>
          <w:szCs w:val="24"/>
        </w:rPr>
        <w:t>.</w:t>
      </w:r>
    </w:p>
    <w:p w:rsidR="00EB5A4E" w:rsidRPr="002D6046" w:rsidRDefault="00EB5A4E" w:rsidP="000B23CD">
      <w:pPr>
        <w:autoSpaceDE w:val="0"/>
        <w:autoSpaceDN w:val="0"/>
        <w:adjustRightInd w:val="0"/>
        <w:ind w:left="720" w:hanging="720"/>
        <w:rPr>
          <w:rFonts w:cs="Times New Roman"/>
          <w:szCs w:val="24"/>
        </w:rPr>
      </w:pPr>
    </w:p>
    <w:p w:rsidR="005E507C" w:rsidRDefault="004B7B52" w:rsidP="00D25551">
      <w:pPr>
        <w:autoSpaceDE w:val="0"/>
        <w:autoSpaceDN w:val="0"/>
        <w:adjustRightInd w:val="0"/>
        <w:ind w:left="720" w:hanging="720"/>
        <w:rPr>
          <w:rFonts w:eastAsia="Calibri" w:cs="Times New Roman"/>
        </w:rPr>
      </w:pPr>
      <w:r>
        <w:rPr>
          <w:rFonts w:eastAsia="Calibri" w:cs="Times New Roman"/>
        </w:rPr>
        <w:t>Blackwell, M, Cobb</w:t>
      </w:r>
      <w:r w:rsidR="00222280">
        <w:rPr>
          <w:rFonts w:eastAsia="Calibri" w:cs="Times New Roman"/>
        </w:rPr>
        <w:t xml:space="preserve"> S.</w:t>
      </w:r>
      <w:r>
        <w:rPr>
          <w:rFonts w:eastAsia="Calibri" w:cs="Times New Roman"/>
        </w:rPr>
        <w:t>, Weinberg</w:t>
      </w:r>
      <w:r w:rsidR="00222280">
        <w:rPr>
          <w:rFonts w:eastAsia="Calibri" w:cs="Times New Roman"/>
        </w:rPr>
        <w:t>, D</w:t>
      </w:r>
      <w:r>
        <w:rPr>
          <w:rFonts w:eastAsia="Calibri" w:cs="Times New Roman"/>
        </w:rPr>
        <w:t>.</w:t>
      </w:r>
      <w:r w:rsidR="00222280">
        <w:rPr>
          <w:rFonts w:eastAsia="Calibri" w:cs="Times New Roman"/>
        </w:rPr>
        <w:t>,</w:t>
      </w:r>
      <w:r>
        <w:rPr>
          <w:rFonts w:eastAsia="Calibri" w:cs="Times New Roman"/>
        </w:rPr>
        <w:t xml:space="preserve"> 2002. The </w:t>
      </w:r>
      <w:r w:rsidR="008A5776">
        <w:rPr>
          <w:rFonts w:eastAsia="Calibri" w:cs="Times New Roman"/>
        </w:rPr>
        <w:t>e</w:t>
      </w:r>
      <w:r>
        <w:rPr>
          <w:rFonts w:eastAsia="Calibri" w:cs="Times New Roman"/>
        </w:rPr>
        <w:t xml:space="preserve">conomic </w:t>
      </w:r>
      <w:r w:rsidR="008A5776">
        <w:rPr>
          <w:rFonts w:eastAsia="Calibri" w:cs="Times New Roman"/>
        </w:rPr>
        <w:t>i</w:t>
      </w:r>
      <w:r>
        <w:rPr>
          <w:rFonts w:eastAsia="Calibri" w:cs="Times New Roman"/>
        </w:rPr>
        <w:t xml:space="preserve">mpact of </w:t>
      </w:r>
      <w:r w:rsidR="008A5776">
        <w:rPr>
          <w:rFonts w:eastAsia="Calibri" w:cs="Times New Roman"/>
        </w:rPr>
        <w:t>e</w:t>
      </w:r>
      <w:r>
        <w:rPr>
          <w:rFonts w:eastAsia="Calibri" w:cs="Times New Roman"/>
        </w:rPr>
        <w:t xml:space="preserve">ducational </w:t>
      </w:r>
      <w:r w:rsidR="008A5776">
        <w:rPr>
          <w:rFonts w:eastAsia="Calibri" w:cs="Times New Roman"/>
        </w:rPr>
        <w:t>i</w:t>
      </w:r>
      <w:r>
        <w:rPr>
          <w:rFonts w:eastAsia="Calibri" w:cs="Times New Roman"/>
        </w:rPr>
        <w:t xml:space="preserve">nstitutions: </w:t>
      </w:r>
      <w:r w:rsidR="00222280">
        <w:rPr>
          <w:rFonts w:eastAsia="Calibri" w:cs="Times New Roman"/>
        </w:rPr>
        <w:t>i</w:t>
      </w:r>
      <w:r>
        <w:rPr>
          <w:rFonts w:eastAsia="Calibri" w:cs="Times New Roman"/>
        </w:rPr>
        <w:t xml:space="preserve">ssues and </w:t>
      </w:r>
      <w:r w:rsidR="008A5776">
        <w:rPr>
          <w:rFonts w:eastAsia="Calibri" w:cs="Times New Roman"/>
        </w:rPr>
        <w:t>m</w:t>
      </w:r>
      <w:r>
        <w:rPr>
          <w:rFonts w:eastAsia="Calibri" w:cs="Times New Roman"/>
        </w:rPr>
        <w:t>ethodology</w:t>
      </w:r>
      <w:r>
        <w:t>.</w:t>
      </w:r>
      <w:r>
        <w:rPr>
          <w:rFonts w:eastAsia="Calibri" w:cs="Times New Roman"/>
        </w:rPr>
        <w:t xml:space="preserve"> </w:t>
      </w:r>
      <w:r w:rsidRPr="008A5776">
        <w:rPr>
          <w:rFonts w:eastAsia="Calibri" w:cs="Times New Roman"/>
        </w:rPr>
        <w:t>Economic Development Quarterly</w:t>
      </w:r>
      <w:r>
        <w:rPr>
          <w:rFonts w:eastAsia="Calibri" w:cs="Times New Roman"/>
        </w:rPr>
        <w:t xml:space="preserve"> 16, 88-95.</w:t>
      </w:r>
    </w:p>
    <w:p w:rsidR="007D55A2" w:rsidRDefault="007D55A2" w:rsidP="00F243EE">
      <w:pPr>
        <w:autoSpaceDE w:val="0"/>
        <w:autoSpaceDN w:val="0"/>
        <w:adjustRightInd w:val="0"/>
        <w:spacing w:after="0"/>
        <w:ind w:left="720" w:hanging="720"/>
        <w:rPr>
          <w:rFonts w:cstheme="minorHAnsi"/>
        </w:rPr>
      </w:pPr>
    </w:p>
    <w:p w:rsidR="008F33F6" w:rsidRDefault="008F33F6" w:rsidP="00F243EE">
      <w:pPr>
        <w:autoSpaceDE w:val="0"/>
        <w:autoSpaceDN w:val="0"/>
        <w:adjustRightInd w:val="0"/>
        <w:spacing w:after="0"/>
        <w:ind w:left="720" w:hanging="720"/>
        <w:rPr>
          <w:rFonts w:cstheme="minorHAnsi"/>
        </w:rPr>
      </w:pPr>
      <w:proofErr w:type="gramStart"/>
      <w:r>
        <w:rPr>
          <w:rFonts w:cstheme="minorHAnsi"/>
        </w:rPr>
        <w:t>Bound, J</w:t>
      </w:r>
      <w:r w:rsidR="00E62F81">
        <w:rPr>
          <w:rFonts w:cstheme="minorHAnsi"/>
        </w:rPr>
        <w:t>.</w:t>
      </w:r>
      <w:r>
        <w:rPr>
          <w:rFonts w:cstheme="minorHAnsi"/>
        </w:rPr>
        <w:t xml:space="preserve">, </w:t>
      </w:r>
      <w:proofErr w:type="spellStart"/>
      <w:r>
        <w:rPr>
          <w:rFonts w:cstheme="minorHAnsi"/>
        </w:rPr>
        <w:t>Groen</w:t>
      </w:r>
      <w:proofErr w:type="spellEnd"/>
      <w:r>
        <w:rPr>
          <w:rFonts w:cstheme="minorHAnsi"/>
        </w:rPr>
        <w:t>,</w:t>
      </w:r>
      <w:r w:rsidR="00222280">
        <w:rPr>
          <w:rFonts w:cstheme="minorHAnsi"/>
        </w:rPr>
        <w:t xml:space="preserve"> J.,</w:t>
      </w:r>
      <w:r>
        <w:rPr>
          <w:rFonts w:cstheme="minorHAnsi"/>
        </w:rPr>
        <w:t xml:space="preserve"> </w:t>
      </w:r>
      <w:proofErr w:type="spellStart"/>
      <w:r>
        <w:rPr>
          <w:rFonts w:cstheme="minorHAnsi"/>
        </w:rPr>
        <w:t>Kezdi</w:t>
      </w:r>
      <w:proofErr w:type="spellEnd"/>
      <w:r>
        <w:rPr>
          <w:rFonts w:cstheme="minorHAnsi"/>
        </w:rPr>
        <w:t>,</w:t>
      </w:r>
      <w:r w:rsidR="00222280">
        <w:rPr>
          <w:rFonts w:cstheme="minorHAnsi"/>
        </w:rPr>
        <w:t xml:space="preserve"> G.,</w:t>
      </w:r>
      <w:r>
        <w:rPr>
          <w:rFonts w:cstheme="minorHAnsi"/>
        </w:rPr>
        <w:t xml:space="preserve"> Turner</w:t>
      </w:r>
      <w:r w:rsidR="00222280">
        <w:rPr>
          <w:rFonts w:cstheme="minorHAnsi"/>
        </w:rPr>
        <w:t>, S</w:t>
      </w:r>
      <w:r>
        <w:rPr>
          <w:rFonts w:cstheme="minorHAnsi"/>
        </w:rPr>
        <w:t>.</w:t>
      </w:r>
      <w:r w:rsidR="00222280">
        <w:rPr>
          <w:rFonts w:cstheme="minorHAnsi"/>
        </w:rPr>
        <w:t>,</w:t>
      </w:r>
      <w:r>
        <w:rPr>
          <w:rFonts w:cstheme="minorHAnsi"/>
        </w:rPr>
        <w:t xml:space="preserve"> 2004.</w:t>
      </w:r>
      <w:proofErr w:type="gramEnd"/>
      <w:r>
        <w:rPr>
          <w:rFonts w:cstheme="minorHAnsi"/>
        </w:rPr>
        <w:t xml:space="preserve"> Trade in university </w:t>
      </w:r>
      <w:r w:rsidR="008A5776">
        <w:rPr>
          <w:rFonts w:cstheme="minorHAnsi"/>
        </w:rPr>
        <w:t>t</w:t>
      </w:r>
      <w:r>
        <w:rPr>
          <w:rFonts w:cstheme="minorHAnsi"/>
        </w:rPr>
        <w:t xml:space="preserve">raining: </w:t>
      </w:r>
      <w:r w:rsidR="00222280">
        <w:rPr>
          <w:rFonts w:cstheme="minorHAnsi"/>
        </w:rPr>
        <w:t>c</w:t>
      </w:r>
      <w:r>
        <w:rPr>
          <w:rFonts w:cstheme="minorHAnsi"/>
        </w:rPr>
        <w:t xml:space="preserve">ross-state </w:t>
      </w:r>
      <w:r w:rsidR="008A5776">
        <w:rPr>
          <w:rFonts w:cstheme="minorHAnsi"/>
        </w:rPr>
        <w:t>v</w:t>
      </w:r>
      <w:r>
        <w:rPr>
          <w:rFonts w:cstheme="minorHAnsi"/>
        </w:rPr>
        <w:t xml:space="preserve">ariation in the </w:t>
      </w:r>
      <w:r w:rsidR="008A5776">
        <w:rPr>
          <w:rFonts w:cstheme="minorHAnsi"/>
        </w:rPr>
        <w:t>p</w:t>
      </w:r>
      <w:r>
        <w:rPr>
          <w:rFonts w:cstheme="minorHAnsi"/>
        </w:rPr>
        <w:t xml:space="preserve">roduction and </w:t>
      </w:r>
      <w:r w:rsidR="008A5776">
        <w:rPr>
          <w:rFonts w:cstheme="minorHAnsi"/>
        </w:rPr>
        <w:t>stock of c</w:t>
      </w:r>
      <w:r>
        <w:rPr>
          <w:rFonts w:cstheme="minorHAnsi"/>
        </w:rPr>
        <w:t xml:space="preserve">ollege-educated </w:t>
      </w:r>
      <w:r w:rsidR="008A5776">
        <w:rPr>
          <w:rFonts w:cstheme="minorHAnsi"/>
        </w:rPr>
        <w:t>l</w:t>
      </w:r>
      <w:r>
        <w:rPr>
          <w:rFonts w:cstheme="minorHAnsi"/>
        </w:rPr>
        <w:t xml:space="preserve">abor. </w:t>
      </w:r>
      <w:r w:rsidR="00AD4D1F" w:rsidRPr="008A5776">
        <w:rPr>
          <w:rFonts w:cstheme="minorHAnsi"/>
        </w:rPr>
        <w:t>Journal of Econometrics</w:t>
      </w:r>
      <w:r>
        <w:rPr>
          <w:rFonts w:cstheme="minorHAnsi"/>
        </w:rPr>
        <w:t xml:space="preserve"> 121 (1-2): 143-173.</w:t>
      </w:r>
    </w:p>
    <w:p w:rsidR="008F33F6" w:rsidRDefault="008F33F6" w:rsidP="006A24EF"/>
    <w:p w:rsidR="00A46D56" w:rsidRDefault="00715864" w:rsidP="00380B4A">
      <w:pPr>
        <w:autoSpaceDE w:val="0"/>
        <w:autoSpaceDN w:val="0"/>
        <w:adjustRightInd w:val="0"/>
        <w:spacing w:after="0"/>
        <w:ind w:left="720" w:hanging="720"/>
        <w:contextualSpacing w:val="0"/>
        <w:rPr>
          <w:rFonts w:cs="Times New Roman"/>
          <w:szCs w:val="24"/>
        </w:rPr>
      </w:pPr>
      <w:proofErr w:type="gramStart"/>
      <w:r w:rsidRPr="009B3F40">
        <w:rPr>
          <w:rFonts w:cs="Times New Roman"/>
          <w:szCs w:val="24"/>
        </w:rPr>
        <w:t>Bound, J</w:t>
      </w:r>
      <w:r w:rsidR="00222280">
        <w:rPr>
          <w:rFonts w:cs="Times New Roman"/>
          <w:szCs w:val="24"/>
        </w:rPr>
        <w:t>.</w:t>
      </w:r>
      <w:r w:rsidRPr="009B3F40">
        <w:rPr>
          <w:rFonts w:cs="Times New Roman"/>
          <w:szCs w:val="24"/>
        </w:rPr>
        <w:t>,</w:t>
      </w:r>
      <w:r w:rsidR="00324B6D">
        <w:rPr>
          <w:rFonts w:cs="Times New Roman"/>
          <w:szCs w:val="24"/>
        </w:rPr>
        <w:t xml:space="preserve"> </w:t>
      </w:r>
      <w:proofErr w:type="spellStart"/>
      <w:r w:rsidR="00324B6D">
        <w:rPr>
          <w:rFonts w:cs="Times New Roman"/>
          <w:szCs w:val="24"/>
        </w:rPr>
        <w:t>Holzer</w:t>
      </w:r>
      <w:proofErr w:type="spellEnd"/>
      <w:r w:rsidR="00222280">
        <w:rPr>
          <w:rFonts w:cs="Times New Roman"/>
          <w:szCs w:val="24"/>
        </w:rPr>
        <w:t>, H.J</w:t>
      </w:r>
      <w:r w:rsidR="00324B6D">
        <w:rPr>
          <w:rFonts w:cs="Times New Roman"/>
          <w:szCs w:val="24"/>
        </w:rPr>
        <w:t>.</w:t>
      </w:r>
      <w:r w:rsidR="00222280">
        <w:rPr>
          <w:rFonts w:cs="Times New Roman"/>
          <w:szCs w:val="24"/>
        </w:rPr>
        <w:t>,</w:t>
      </w:r>
      <w:r>
        <w:rPr>
          <w:rFonts w:cs="Times New Roman"/>
          <w:szCs w:val="24"/>
        </w:rPr>
        <w:t xml:space="preserve"> 2000</w:t>
      </w:r>
      <w:r w:rsidRPr="009B3F40">
        <w:rPr>
          <w:rFonts w:cs="Times New Roman"/>
          <w:szCs w:val="24"/>
        </w:rPr>
        <w:t>.</w:t>
      </w:r>
      <w:proofErr w:type="gramEnd"/>
      <w:r w:rsidRPr="009B3F40">
        <w:rPr>
          <w:rFonts w:cs="Times New Roman"/>
          <w:szCs w:val="24"/>
        </w:rPr>
        <w:t xml:space="preserve"> Demand shifts, population adjustments, and labor market outcomes during the 1980s. </w:t>
      </w:r>
      <w:r w:rsidRPr="008A5776">
        <w:rPr>
          <w:rFonts w:cs="Times New Roman"/>
          <w:iCs/>
          <w:szCs w:val="24"/>
        </w:rPr>
        <w:t>Journal of Labor Economics</w:t>
      </w:r>
      <w:r w:rsidRPr="009B3F40">
        <w:rPr>
          <w:rFonts w:cs="Times New Roman"/>
          <w:i/>
          <w:iCs/>
          <w:szCs w:val="24"/>
        </w:rPr>
        <w:t xml:space="preserve"> </w:t>
      </w:r>
      <w:r w:rsidRPr="000C2B34">
        <w:rPr>
          <w:rFonts w:cs="Times New Roman"/>
          <w:iCs/>
          <w:szCs w:val="24"/>
        </w:rPr>
        <w:t>18(1)</w:t>
      </w:r>
      <w:r w:rsidRPr="000C2B34">
        <w:rPr>
          <w:rFonts w:cs="Times New Roman"/>
          <w:szCs w:val="24"/>
        </w:rPr>
        <w:t>,</w:t>
      </w:r>
      <w:r w:rsidRPr="009B3F40">
        <w:rPr>
          <w:rFonts w:cs="Times New Roman"/>
          <w:szCs w:val="24"/>
        </w:rPr>
        <w:t xml:space="preserve"> 20-54.</w:t>
      </w:r>
    </w:p>
    <w:p w:rsidR="00715864" w:rsidRDefault="00715864" w:rsidP="006A24EF"/>
    <w:p w:rsidR="00324B6D" w:rsidRPr="00324B6D" w:rsidRDefault="009C74C1" w:rsidP="00380B4A">
      <w:pPr>
        <w:autoSpaceDE w:val="0"/>
        <w:autoSpaceDN w:val="0"/>
        <w:adjustRightInd w:val="0"/>
        <w:spacing w:after="0"/>
        <w:ind w:left="720" w:hanging="720"/>
        <w:rPr>
          <w:rFonts w:eastAsia="Calibri" w:cs="Times New Roman"/>
          <w:szCs w:val="24"/>
        </w:rPr>
      </w:pPr>
      <w:proofErr w:type="gramStart"/>
      <w:r w:rsidRPr="0050757A">
        <w:rPr>
          <w:rFonts w:cs="Times New Roman"/>
          <w:szCs w:val="24"/>
        </w:rPr>
        <w:t>Bound, J</w:t>
      </w:r>
      <w:r w:rsidR="00222280">
        <w:rPr>
          <w:rFonts w:cs="Times New Roman"/>
          <w:szCs w:val="24"/>
        </w:rPr>
        <w:t>.</w:t>
      </w:r>
      <w:r w:rsidRPr="0050757A">
        <w:rPr>
          <w:rFonts w:cs="Times New Roman"/>
          <w:szCs w:val="24"/>
        </w:rPr>
        <w:t>, Turner</w:t>
      </w:r>
      <w:r w:rsidR="00222280">
        <w:rPr>
          <w:rFonts w:cs="Times New Roman"/>
          <w:szCs w:val="24"/>
        </w:rPr>
        <w:t>, S.,</w:t>
      </w:r>
      <w:r w:rsidRPr="0050757A">
        <w:rPr>
          <w:rFonts w:cs="Times New Roman"/>
          <w:szCs w:val="24"/>
        </w:rPr>
        <w:t xml:space="preserve"> 2007.</w:t>
      </w:r>
      <w:proofErr w:type="gramEnd"/>
      <w:r w:rsidRPr="0050757A">
        <w:rPr>
          <w:rFonts w:cs="Times New Roman"/>
          <w:szCs w:val="24"/>
        </w:rPr>
        <w:t xml:space="preserve"> </w:t>
      </w:r>
      <w:r w:rsidRPr="0050757A">
        <w:rPr>
          <w:rFonts w:cs="Times New Roman"/>
          <w:iCs/>
          <w:szCs w:val="24"/>
        </w:rPr>
        <w:t xml:space="preserve">Cohort crowding: </w:t>
      </w:r>
      <w:r w:rsidR="00E62F81">
        <w:rPr>
          <w:rFonts w:cs="Times New Roman"/>
          <w:iCs/>
          <w:szCs w:val="24"/>
        </w:rPr>
        <w:t>h</w:t>
      </w:r>
      <w:r w:rsidRPr="0050757A">
        <w:rPr>
          <w:rFonts w:cs="Times New Roman"/>
          <w:iCs/>
          <w:szCs w:val="24"/>
        </w:rPr>
        <w:t xml:space="preserve">ow resources affect collegiate attainment. </w:t>
      </w:r>
      <w:r w:rsidR="00324B6D" w:rsidRPr="008A5776">
        <w:rPr>
          <w:rFonts w:cs="Times New Roman"/>
          <w:iCs/>
          <w:szCs w:val="24"/>
        </w:rPr>
        <w:t>Journal of Public Economics</w:t>
      </w:r>
      <w:r w:rsidR="00324B6D">
        <w:rPr>
          <w:rFonts w:cs="Times New Roman"/>
          <w:iCs/>
          <w:szCs w:val="24"/>
        </w:rPr>
        <w:t xml:space="preserve"> 91: 877-899.</w:t>
      </w:r>
    </w:p>
    <w:p w:rsidR="00324B6D" w:rsidRDefault="00324B6D" w:rsidP="00380B4A">
      <w:pPr>
        <w:autoSpaceDE w:val="0"/>
        <w:autoSpaceDN w:val="0"/>
        <w:adjustRightInd w:val="0"/>
        <w:spacing w:after="0"/>
        <w:ind w:left="720" w:hanging="720"/>
        <w:rPr>
          <w:rFonts w:eastAsia="Calibri" w:cs="Times New Roman"/>
          <w:szCs w:val="24"/>
        </w:rPr>
      </w:pPr>
    </w:p>
    <w:p w:rsidR="00A46D56" w:rsidRDefault="005667F1" w:rsidP="00380B4A">
      <w:pPr>
        <w:autoSpaceDE w:val="0"/>
        <w:autoSpaceDN w:val="0"/>
        <w:adjustRightInd w:val="0"/>
        <w:spacing w:after="0"/>
        <w:ind w:left="720" w:hanging="720"/>
        <w:rPr>
          <w:rFonts w:eastAsia="Calibri" w:cs="Times New Roman"/>
          <w:szCs w:val="24"/>
        </w:rPr>
      </w:pPr>
      <w:r>
        <w:rPr>
          <w:rFonts w:eastAsia="Calibri" w:cs="Times New Roman"/>
          <w:szCs w:val="24"/>
        </w:rPr>
        <w:t>Chen, Y</w:t>
      </w:r>
      <w:r w:rsidR="00222280">
        <w:rPr>
          <w:rFonts w:eastAsia="Calibri" w:cs="Times New Roman"/>
          <w:szCs w:val="24"/>
        </w:rPr>
        <w:t>.</w:t>
      </w:r>
      <w:r w:rsidR="00B15F73">
        <w:rPr>
          <w:szCs w:val="24"/>
        </w:rPr>
        <w:t>,</w:t>
      </w:r>
      <w:r>
        <w:rPr>
          <w:rFonts w:eastAsia="Calibri" w:cs="Times New Roman"/>
          <w:szCs w:val="24"/>
        </w:rPr>
        <w:t xml:space="preserve"> Rosenthal</w:t>
      </w:r>
      <w:r w:rsidR="00222280">
        <w:rPr>
          <w:rFonts w:eastAsia="Calibri" w:cs="Times New Roman"/>
          <w:szCs w:val="24"/>
        </w:rPr>
        <w:t>, S.S</w:t>
      </w:r>
      <w:r>
        <w:rPr>
          <w:rFonts w:eastAsia="Calibri" w:cs="Times New Roman"/>
          <w:szCs w:val="24"/>
        </w:rPr>
        <w:t>.</w:t>
      </w:r>
      <w:r w:rsidR="00222280">
        <w:rPr>
          <w:rFonts w:eastAsia="Calibri" w:cs="Times New Roman"/>
          <w:szCs w:val="24"/>
        </w:rPr>
        <w:t>,</w:t>
      </w:r>
      <w:r>
        <w:rPr>
          <w:rFonts w:eastAsia="Calibri" w:cs="Times New Roman"/>
          <w:szCs w:val="24"/>
        </w:rPr>
        <w:t xml:space="preserve"> 2008. </w:t>
      </w:r>
      <w:r w:rsidR="008A5776">
        <w:rPr>
          <w:rFonts w:eastAsia="Calibri" w:cs="Times New Roman"/>
          <w:szCs w:val="24"/>
        </w:rPr>
        <w:t>Local a</w:t>
      </w:r>
      <w:r>
        <w:rPr>
          <w:rFonts w:eastAsia="Calibri" w:cs="Times New Roman"/>
          <w:szCs w:val="24"/>
        </w:rPr>
        <w:t xml:space="preserve">menities and </w:t>
      </w:r>
      <w:r w:rsidR="008A5776">
        <w:rPr>
          <w:rFonts w:eastAsia="Calibri" w:cs="Times New Roman"/>
          <w:szCs w:val="24"/>
        </w:rPr>
        <w:t>l</w:t>
      </w:r>
      <w:r>
        <w:rPr>
          <w:rFonts w:eastAsia="Calibri" w:cs="Times New Roman"/>
          <w:szCs w:val="24"/>
        </w:rPr>
        <w:t>ife-</w:t>
      </w:r>
      <w:r w:rsidR="008A5776">
        <w:rPr>
          <w:rFonts w:eastAsia="Calibri" w:cs="Times New Roman"/>
          <w:szCs w:val="24"/>
        </w:rPr>
        <w:t>c</w:t>
      </w:r>
      <w:r>
        <w:rPr>
          <w:rFonts w:eastAsia="Calibri" w:cs="Times New Roman"/>
          <w:szCs w:val="24"/>
        </w:rPr>
        <w:t xml:space="preserve">ycle </w:t>
      </w:r>
      <w:r w:rsidR="008A5776">
        <w:rPr>
          <w:rFonts w:eastAsia="Calibri" w:cs="Times New Roman"/>
          <w:szCs w:val="24"/>
        </w:rPr>
        <w:t>m</w:t>
      </w:r>
      <w:r>
        <w:rPr>
          <w:rFonts w:eastAsia="Calibri" w:cs="Times New Roman"/>
          <w:szCs w:val="24"/>
        </w:rPr>
        <w:t xml:space="preserve">igration: </w:t>
      </w:r>
      <w:r w:rsidR="00222280">
        <w:rPr>
          <w:rFonts w:eastAsia="Calibri" w:cs="Times New Roman"/>
          <w:szCs w:val="24"/>
        </w:rPr>
        <w:t>d</w:t>
      </w:r>
      <w:r>
        <w:rPr>
          <w:rFonts w:eastAsia="Calibri" w:cs="Times New Roman"/>
          <w:szCs w:val="24"/>
        </w:rPr>
        <w:t xml:space="preserve">o </w:t>
      </w:r>
      <w:r w:rsidR="008A5776">
        <w:rPr>
          <w:rFonts w:eastAsia="Calibri" w:cs="Times New Roman"/>
          <w:szCs w:val="24"/>
        </w:rPr>
        <w:t>p</w:t>
      </w:r>
      <w:r>
        <w:rPr>
          <w:rFonts w:eastAsia="Calibri" w:cs="Times New Roman"/>
          <w:szCs w:val="24"/>
        </w:rPr>
        <w:t xml:space="preserve">eople </w:t>
      </w:r>
      <w:r w:rsidR="008A5776">
        <w:rPr>
          <w:rFonts w:eastAsia="Calibri" w:cs="Times New Roman"/>
          <w:szCs w:val="24"/>
        </w:rPr>
        <w:t>m</w:t>
      </w:r>
      <w:r>
        <w:rPr>
          <w:rFonts w:eastAsia="Calibri" w:cs="Times New Roman"/>
          <w:szCs w:val="24"/>
        </w:rPr>
        <w:t xml:space="preserve">ove for </w:t>
      </w:r>
      <w:r w:rsidR="008A5776">
        <w:rPr>
          <w:rFonts w:eastAsia="Calibri" w:cs="Times New Roman"/>
          <w:szCs w:val="24"/>
        </w:rPr>
        <w:t>j</w:t>
      </w:r>
      <w:r>
        <w:rPr>
          <w:rFonts w:eastAsia="Calibri" w:cs="Times New Roman"/>
          <w:szCs w:val="24"/>
        </w:rPr>
        <w:t xml:space="preserve">obs or </w:t>
      </w:r>
      <w:r w:rsidR="008A5776">
        <w:rPr>
          <w:rFonts w:eastAsia="Calibri" w:cs="Times New Roman"/>
          <w:szCs w:val="24"/>
        </w:rPr>
        <w:t>f</w:t>
      </w:r>
      <w:r>
        <w:rPr>
          <w:rFonts w:eastAsia="Calibri" w:cs="Times New Roman"/>
          <w:szCs w:val="24"/>
        </w:rPr>
        <w:t xml:space="preserve">un? </w:t>
      </w:r>
      <w:r w:rsidRPr="008A5776">
        <w:rPr>
          <w:rFonts w:eastAsia="Calibri" w:cs="Times New Roman"/>
          <w:szCs w:val="24"/>
        </w:rPr>
        <w:t>Journal of Urban Economics</w:t>
      </w:r>
      <w:r>
        <w:rPr>
          <w:rFonts w:eastAsia="Calibri" w:cs="Times New Roman"/>
          <w:szCs w:val="24"/>
        </w:rPr>
        <w:t xml:space="preserve"> 64, 519-537.</w:t>
      </w:r>
    </w:p>
    <w:p w:rsidR="00A46D56" w:rsidRDefault="00A46D56" w:rsidP="00380B4A">
      <w:pPr>
        <w:autoSpaceDE w:val="0"/>
        <w:autoSpaceDN w:val="0"/>
        <w:adjustRightInd w:val="0"/>
        <w:spacing w:after="0"/>
        <w:ind w:left="720" w:hanging="720"/>
        <w:rPr>
          <w:rFonts w:cs="Times New Roman"/>
          <w:szCs w:val="24"/>
        </w:rPr>
      </w:pPr>
    </w:p>
    <w:p w:rsidR="00A46D56" w:rsidRDefault="00222280" w:rsidP="00380B4A">
      <w:pPr>
        <w:autoSpaceDE w:val="0"/>
        <w:autoSpaceDN w:val="0"/>
        <w:adjustRightInd w:val="0"/>
        <w:spacing w:after="0"/>
        <w:ind w:left="720" w:hanging="720"/>
        <w:rPr>
          <w:rFonts w:cs="Times New Roman"/>
          <w:szCs w:val="24"/>
        </w:rPr>
      </w:pPr>
      <w:r>
        <w:rPr>
          <w:rFonts w:cs="Times New Roman"/>
          <w:szCs w:val="24"/>
        </w:rPr>
        <w:t>Conley, T.</w:t>
      </w:r>
      <w:r w:rsidR="00F93DEA" w:rsidRPr="00B3380C">
        <w:rPr>
          <w:rFonts w:cs="Times New Roman"/>
          <w:szCs w:val="24"/>
        </w:rPr>
        <w:t>G.</w:t>
      </w:r>
      <w:r w:rsidR="00F93DEA">
        <w:rPr>
          <w:rFonts w:cs="Times New Roman"/>
          <w:szCs w:val="24"/>
        </w:rPr>
        <w:t>,</w:t>
      </w:r>
      <w:r w:rsidR="00F93DEA" w:rsidRPr="00B3380C">
        <w:rPr>
          <w:rFonts w:cs="Times New Roman"/>
          <w:szCs w:val="24"/>
        </w:rPr>
        <w:t xml:space="preserve"> Taber</w:t>
      </w:r>
      <w:r>
        <w:rPr>
          <w:rFonts w:cs="Times New Roman"/>
          <w:szCs w:val="24"/>
        </w:rPr>
        <w:t>, C.R.,</w:t>
      </w:r>
      <w:r w:rsidR="00F93DEA" w:rsidRPr="00B3380C">
        <w:rPr>
          <w:rFonts w:cs="Times New Roman"/>
          <w:szCs w:val="24"/>
        </w:rPr>
        <w:t xml:space="preserve"> </w:t>
      </w:r>
      <w:r w:rsidR="00F93DEA">
        <w:rPr>
          <w:rFonts w:cs="Times New Roman"/>
          <w:szCs w:val="24"/>
        </w:rPr>
        <w:t>2011</w:t>
      </w:r>
      <w:r w:rsidR="00F93DEA" w:rsidRPr="00B3380C">
        <w:rPr>
          <w:rFonts w:cs="Times New Roman"/>
          <w:szCs w:val="24"/>
        </w:rPr>
        <w:t xml:space="preserve">. Inference with </w:t>
      </w:r>
      <w:r w:rsidR="00F93DEA">
        <w:rPr>
          <w:rFonts w:cs="Times New Roman"/>
          <w:szCs w:val="24"/>
        </w:rPr>
        <w:t>‘</w:t>
      </w:r>
      <w:r w:rsidR="008A5776">
        <w:rPr>
          <w:rFonts w:cs="Times New Roman"/>
          <w:szCs w:val="24"/>
        </w:rPr>
        <w:t>difference in d</w:t>
      </w:r>
      <w:r w:rsidR="00F93DEA" w:rsidRPr="00B3380C">
        <w:rPr>
          <w:rFonts w:cs="Times New Roman"/>
          <w:szCs w:val="24"/>
        </w:rPr>
        <w:t>ifferences</w:t>
      </w:r>
      <w:r w:rsidR="00F93DEA">
        <w:rPr>
          <w:rFonts w:cs="Times New Roman"/>
          <w:szCs w:val="24"/>
        </w:rPr>
        <w:t>’</w:t>
      </w:r>
      <w:r w:rsidR="00567F46">
        <w:rPr>
          <w:rFonts w:cs="Times New Roman"/>
          <w:szCs w:val="24"/>
        </w:rPr>
        <w:t xml:space="preserve"> </w:t>
      </w:r>
      <w:r w:rsidR="00F93DEA" w:rsidRPr="00B3380C">
        <w:rPr>
          <w:rFonts w:cs="Times New Roman"/>
          <w:szCs w:val="24"/>
        </w:rPr>
        <w:t xml:space="preserve">with a </w:t>
      </w:r>
      <w:r w:rsidR="008A5776">
        <w:rPr>
          <w:rFonts w:cs="Times New Roman"/>
          <w:szCs w:val="24"/>
        </w:rPr>
        <w:t>s</w:t>
      </w:r>
      <w:r w:rsidR="00F93DEA" w:rsidRPr="00B3380C">
        <w:rPr>
          <w:rFonts w:cs="Times New Roman"/>
          <w:szCs w:val="24"/>
        </w:rPr>
        <w:t>mall</w:t>
      </w:r>
      <w:r w:rsidR="00F93DEA">
        <w:rPr>
          <w:rFonts w:cs="Times New Roman"/>
          <w:szCs w:val="24"/>
        </w:rPr>
        <w:t xml:space="preserve"> </w:t>
      </w:r>
      <w:r w:rsidR="008A5776">
        <w:rPr>
          <w:rFonts w:cs="Times New Roman"/>
          <w:szCs w:val="24"/>
        </w:rPr>
        <w:t>n</w:t>
      </w:r>
      <w:r w:rsidR="00F93DEA" w:rsidRPr="00B3380C">
        <w:rPr>
          <w:rFonts w:cs="Times New Roman"/>
          <w:szCs w:val="24"/>
        </w:rPr>
        <w:t xml:space="preserve">umber of </w:t>
      </w:r>
      <w:r w:rsidR="008A5776">
        <w:rPr>
          <w:rFonts w:cs="Times New Roman"/>
          <w:szCs w:val="24"/>
        </w:rPr>
        <w:t>p</w:t>
      </w:r>
      <w:r w:rsidR="00F93DEA" w:rsidRPr="00B3380C">
        <w:rPr>
          <w:rFonts w:cs="Times New Roman"/>
          <w:szCs w:val="24"/>
        </w:rPr>
        <w:t xml:space="preserve">olicy </w:t>
      </w:r>
      <w:r w:rsidR="008A5776">
        <w:rPr>
          <w:rFonts w:cs="Times New Roman"/>
          <w:szCs w:val="24"/>
        </w:rPr>
        <w:t>c</w:t>
      </w:r>
      <w:r w:rsidR="00F93DEA" w:rsidRPr="00B3380C">
        <w:rPr>
          <w:rFonts w:cs="Times New Roman"/>
          <w:szCs w:val="24"/>
        </w:rPr>
        <w:t xml:space="preserve">hanges. </w:t>
      </w:r>
      <w:r w:rsidR="00F93DEA" w:rsidRPr="008A5776">
        <w:rPr>
          <w:rFonts w:cs="Times New Roman"/>
          <w:szCs w:val="24"/>
        </w:rPr>
        <w:t>Review of Economics and Statistics</w:t>
      </w:r>
      <w:r w:rsidR="00F93DEA">
        <w:rPr>
          <w:rFonts w:cs="Times New Roman"/>
          <w:szCs w:val="24"/>
        </w:rPr>
        <w:t xml:space="preserve"> 93(1):113-25.</w:t>
      </w:r>
    </w:p>
    <w:p w:rsidR="00A46D56" w:rsidRDefault="00A46D56" w:rsidP="00380B4A">
      <w:pPr>
        <w:autoSpaceDE w:val="0"/>
        <w:autoSpaceDN w:val="0"/>
        <w:adjustRightInd w:val="0"/>
        <w:spacing w:after="0"/>
        <w:ind w:left="720" w:hanging="720"/>
        <w:rPr>
          <w:rFonts w:cs="Times New Roman"/>
          <w:szCs w:val="24"/>
        </w:rPr>
      </w:pPr>
    </w:p>
    <w:p w:rsidR="00B35EFA" w:rsidRDefault="00B35EFA" w:rsidP="00380B4A">
      <w:pPr>
        <w:autoSpaceDE w:val="0"/>
        <w:autoSpaceDN w:val="0"/>
        <w:adjustRightInd w:val="0"/>
        <w:spacing w:after="0"/>
        <w:ind w:left="720" w:hanging="720"/>
        <w:rPr>
          <w:rFonts w:cs="Times New Roman"/>
          <w:szCs w:val="24"/>
        </w:rPr>
      </w:pPr>
      <w:r w:rsidRPr="00B3380C">
        <w:rPr>
          <w:rFonts w:cs="Times New Roman"/>
          <w:szCs w:val="24"/>
        </w:rPr>
        <w:t>Cornwell, C</w:t>
      </w:r>
      <w:r w:rsidR="00222280">
        <w:rPr>
          <w:rFonts w:cs="Times New Roman"/>
          <w:szCs w:val="24"/>
        </w:rPr>
        <w:t>.</w:t>
      </w:r>
      <w:r w:rsidRPr="00B3380C">
        <w:rPr>
          <w:rFonts w:cs="Times New Roman"/>
          <w:szCs w:val="24"/>
        </w:rPr>
        <w:t xml:space="preserve">, </w:t>
      </w:r>
      <w:r>
        <w:rPr>
          <w:rFonts w:cs="Times New Roman"/>
          <w:szCs w:val="24"/>
        </w:rPr>
        <w:t>Lee,</w:t>
      </w:r>
      <w:r w:rsidR="00222280">
        <w:rPr>
          <w:rFonts w:cs="Times New Roman"/>
          <w:szCs w:val="24"/>
        </w:rPr>
        <w:t xml:space="preserve"> K.H.,</w:t>
      </w:r>
      <w:r>
        <w:rPr>
          <w:rFonts w:cs="Times New Roman"/>
          <w:szCs w:val="24"/>
        </w:rPr>
        <w:t xml:space="preserve"> Mustard</w:t>
      </w:r>
      <w:r w:rsidR="00222280">
        <w:rPr>
          <w:rFonts w:cs="Times New Roman"/>
          <w:szCs w:val="24"/>
        </w:rPr>
        <w:t>, D.B.,</w:t>
      </w:r>
      <w:r>
        <w:rPr>
          <w:rFonts w:cs="Times New Roman"/>
          <w:szCs w:val="24"/>
        </w:rPr>
        <w:t xml:space="preserve"> 2005. Student </w:t>
      </w:r>
      <w:r w:rsidR="008A5776">
        <w:rPr>
          <w:rFonts w:cs="Times New Roman"/>
          <w:szCs w:val="24"/>
        </w:rPr>
        <w:t>r</w:t>
      </w:r>
      <w:r>
        <w:rPr>
          <w:rFonts w:cs="Times New Roman"/>
          <w:szCs w:val="24"/>
        </w:rPr>
        <w:t xml:space="preserve">esponses to </w:t>
      </w:r>
      <w:r w:rsidR="008A5776">
        <w:rPr>
          <w:rFonts w:cs="Times New Roman"/>
          <w:szCs w:val="24"/>
        </w:rPr>
        <w:t>m</w:t>
      </w:r>
      <w:r>
        <w:rPr>
          <w:rFonts w:cs="Times New Roman"/>
          <w:szCs w:val="24"/>
        </w:rPr>
        <w:t xml:space="preserve">erit </w:t>
      </w:r>
      <w:r w:rsidR="008A5776">
        <w:rPr>
          <w:rFonts w:cs="Times New Roman"/>
          <w:szCs w:val="24"/>
        </w:rPr>
        <w:t>s</w:t>
      </w:r>
      <w:r>
        <w:rPr>
          <w:rFonts w:cs="Times New Roman"/>
          <w:szCs w:val="24"/>
        </w:rPr>
        <w:t xml:space="preserve">cholarship </w:t>
      </w:r>
      <w:r w:rsidR="008A5776">
        <w:rPr>
          <w:rFonts w:cs="Times New Roman"/>
          <w:szCs w:val="24"/>
        </w:rPr>
        <w:t>r</w:t>
      </w:r>
      <w:r>
        <w:rPr>
          <w:rFonts w:cs="Times New Roman"/>
          <w:szCs w:val="24"/>
        </w:rPr>
        <w:t xml:space="preserve">etention </w:t>
      </w:r>
      <w:r w:rsidR="008A5776">
        <w:rPr>
          <w:rFonts w:cs="Times New Roman"/>
          <w:szCs w:val="24"/>
        </w:rPr>
        <w:t>r</w:t>
      </w:r>
      <w:r>
        <w:rPr>
          <w:rFonts w:cs="Times New Roman"/>
          <w:szCs w:val="24"/>
        </w:rPr>
        <w:t xml:space="preserve">ules. </w:t>
      </w:r>
      <w:r w:rsidR="00020E56" w:rsidRPr="008A5776">
        <w:rPr>
          <w:rFonts w:cs="Times New Roman"/>
          <w:szCs w:val="24"/>
        </w:rPr>
        <w:t>Journal of Human Resources</w:t>
      </w:r>
      <w:r>
        <w:rPr>
          <w:rFonts w:cs="Times New Roman"/>
          <w:szCs w:val="24"/>
        </w:rPr>
        <w:t xml:space="preserve"> 40(4): 895-917.</w:t>
      </w:r>
    </w:p>
    <w:p w:rsidR="00B35EFA" w:rsidRDefault="00B35EFA" w:rsidP="00380B4A">
      <w:pPr>
        <w:autoSpaceDE w:val="0"/>
        <w:autoSpaceDN w:val="0"/>
        <w:adjustRightInd w:val="0"/>
        <w:spacing w:after="0"/>
        <w:ind w:left="720" w:hanging="720"/>
        <w:rPr>
          <w:rFonts w:cs="Times New Roman"/>
          <w:szCs w:val="24"/>
        </w:rPr>
      </w:pPr>
    </w:p>
    <w:p w:rsidR="00A46D56" w:rsidRPr="008A5776" w:rsidRDefault="005F2923" w:rsidP="00380B4A">
      <w:pPr>
        <w:autoSpaceDE w:val="0"/>
        <w:autoSpaceDN w:val="0"/>
        <w:adjustRightInd w:val="0"/>
        <w:spacing w:after="0"/>
        <w:ind w:left="720" w:hanging="720"/>
        <w:rPr>
          <w:rFonts w:cs="Times New Roman"/>
          <w:szCs w:val="24"/>
        </w:rPr>
      </w:pPr>
      <w:r w:rsidRPr="008A5776">
        <w:rPr>
          <w:rFonts w:cs="Times New Roman"/>
          <w:szCs w:val="24"/>
        </w:rPr>
        <w:t>Cornwell, C</w:t>
      </w:r>
      <w:r w:rsidR="00222280">
        <w:rPr>
          <w:rFonts w:cs="Times New Roman"/>
          <w:szCs w:val="24"/>
        </w:rPr>
        <w:t>.,</w:t>
      </w:r>
      <w:r w:rsidRPr="008A5776">
        <w:rPr>
          <w:rFonts w:cs="Times New Roman"/>
          <w:szCs w:val="24"/>
        </w:rPr>
        <w:t xml:space="preserve"> Mustard</w:t>
      </w:r>
      <w:r w:rsidR="00222280">
        <w:rPr>
          <w:rFonts w:cs="Times New Roman"/>
          <w:szCs w:val="24"/>
        </w:rPr>
        <w:t>, D.B</w:t>
      </w:r>
      <w:r w:rsidRPr="008A5776">
        <w:rPr>
          <w:rFonts w:cs="Times New Roman"/>
          <w:szCs w:val="24"/>
        </w:rPr>
        <w:t>.</w:t>
      </w:r>
      <w:r w:rsidR="00222280">
        <w:rPr>
          <w:rFonts w:cs="Times New Roman"/>
          <w:szCs w:val="24"/>
        </w:rPr>
        <w:t>,</w:t>
      </w:r>
      <w:r w:rsidRPr="008A5776">
        <w:rPr>
          <w:rFonts w:cs="Times New Roman"/>
          <w:szCs w:val="24"/>
        </w:rPr>
        <w:t xml:space="preserve"> 2006. </w:t>
      </w:r>
      <w:r w:rsidRPr="008A5776">
        <w:rPr>
          <w:rFonts w:cs="Times New Roman"/>
          <w:bCs/>
          <w:color w:val="231F20"/>
          <w:szCs w:val="24"/>
        </w:rPr>
        <w:t xml:space="preserve">Merit </w:t>
      </w:r>
      <w:r w:rsidR="008A5776">
        <w:rPr>
          <w:rFonts w:cs="Times New Roman"/>
          <w:bCs/>
          <w:color w:val="231F20"/>
          <w:szCs w:val="24"/>
        </w:rPr>
        <w:t>a</w:t>
      </w:r>
      <w:r w:rsidRPr="008A5776">
        <w:rPr>
          <w:rFonts w:cs="Times New Roman"/>
          <w:bCs/>
          <w:color w:val="231F20"/>
          <w:szCs w:val="24"/>
        </w:rPr>
        <w:t xml:space="preserve">id and </w:t>
      </w:r>
      <w:r w:rsidR="008A5776">
        <w:rPr>
          <w:rFonts w:cs="Times New Roman"/>
          <w:bCs/>
          <w:color w:val="231F20"/>
          <w:szCs w:val="24"/>
        </w:rPr>
        <w:t>s</w:t>
      </w:r>
      <w:r w:rsidRPr="008A5776">
        <w:rPr>
          <w:rFonts w:cs="Times New Roman"/>
          <w:bCs/>
          <w:color w:val="231F20"/>
          <w:szCs w:val="24"/>
        </w:rPr>
        <w:t xml:space="preserve">orting: </w:t>
      </w:r>
      <w:r w:rsidR="00222280">
        <w:rPr>
          <w:rFonts w:cs="Times New Roman"/>
          <w:bCs/>
          <w:color w:val="231F20"/>
          <w:szCs w:val="24"/>
        </w:rPr>
        <w:t>t</w:t>
      </w:r>
      <w:r w:rsidRPr="008A5776">
        <w:rPr>
          <w:rFonts w:cs="Times New Roman"/>
          <w:bCs/>
          <w:color w:val="231F20"/>
          <w:szCs w:val="24"/>
        </w:rPr>
        <w:t xml:space="preserve">he </w:t>
      </w:r>
      <w:r w:rsidR="008A5776">
        <w:rPr>
          <w:rFonts w:cs="Times New Roman"/>
          <w:bCs/>
          <w:color w:val="231F20"/>
          <w:szCs w:val="24"/>
        </w:rPr>
        <w:t>e</w:t>
      </w:r>
      <w:r w:rsidRPr="008A5776">
        <w:rPr>
          <w:rFonts w:cs="Times New Roman"/>
          <w:bCs/>
          <w:color w:val="231F20"/>
          <w:szCs w:val="24"/>
        </w:rPr>
        <w:t>ffects of HOPE-</w:t>
      </w:r>
      <w:r w:rsidR="008A5776">
        <w:rPr>
          <w:rFonts w:cs="Times New Roman"/>
          <w:bCs/>
          <w:color w:val="231F20"/>
          <w:szCs w:val="24"/>
        </w:rPr>
        <w:t>s</w:t>
      </w:r>
      <w:r w:rsidRPr="008A5776">
        <w:rPr>
          <w:rFonts w:cs="Times New Roman"/>
          <w:bCs/>
          <w:color w:val="231F20"/>
          <w:szCs w:val="24"/>
        </w:rPr>
        <w:t xml:space="preserve">tyle </w:t>
      </w:r>
      <w:r w:rsidR="008A5776">
        <w:rPr>
          <w:rFonts w:cs="Times New Roman"/>
          <w:bCs/>
          <w:color w:val="231F20"/>
          <w:szCs w:val="24"/>
        </w:rPr>
        <w:t>s</w:t>
      </w:r>
      <w:r w:rsidRPr="008A5776">
        <w:rPr>
          <w:rFonts w:cs="Times New Roman"/>
          <w:bCs/>
          <w:color w:val="231F20"/>
          <w:szCs w:val="24"/>
        </w:rPr>
        <w:t xml:space="preserve">cholarships on </w:t>
      </w:r>
      <w:r w:rsidR="008A5776">
        <w:rPr>
          <w:rFonts w:cs="Times New Roman"/>
          <w:bCs/>
          <w:color w:val="231F20"/>
          <w:szCs w:val="24"/>
        </w:rPr>
        <w:t>c</w:t>
      </w:r>
      <w:r w:rsidRPr="008A5776">
        <w:rPr>
          <w:rFonts w:cs="Times New Roman"/>
          <w:bCs/>
          <w:color w:val="231F20"/>
          <w:szCs w:val="24"/>
        </w:rPr>
        <w:t xml:space="preserve">ollege </w:t>
      </w:r>
      <w:r w:rsidR="008A5776">
        <w:rPr>
          <w:rFonts w:cs="Times New Roman"/>
          <w:bCs/>
          <w:color w:val="231F20"/>
          <w:szCs w:val="24"/>
        </w:rPr>
        <w:t>a</w:t>
      </w:r>
      <w:r w:rsidRPr="008A5776">
        <w:rPr>
          <w:rFonts w:cs="Times New Roman"/>
          <w:bCs/>
          <w:color w:val="231F20"/>
          <w:szCs w:val="24"/>
        </w:rPr>
        <w:t xml:space="preserve">bility </w:t>
      </w:r>
      <w:r w:rsidR="008A5776">
        <w:rPr>
          <w:rFonts w:cs="Times New Roman"/>
          <w:bCs/>
          <w:color w:val="231F20"/>
          <w:szCs w:val="24"/>
        </w:rPr>
        <w:t>s</w:t>
      </w:r>
      <w:r w:rsidRPr="008A5776">
        <w:rPr>
          <w:rFonts w:cs="Times New Roman"/>
          <w:bCs/>
          <w:color w:val="231F20"/>
          <w:szCs w:val="24"/>
        </w:rPr>
        <w:t>tratification</w:t>
      </w:r>
      <w:r w:rsidR="00110EB4" w:rsidRPr="008A5776">
        <w:rPr>
          <w:rFonts w:cs="Times New Roman"/>
          <w:bCs/>
          <w:color w:val="231F20"/>
          <w:szCs w:val="24"/>
        </w:rPr>
        <w:t>.</w:t>
      </w:r>
      <w:r w:rsidRPr="008A5776">
        <w:rPr>
          <w:rFonts w:cs="Times New Roman"/>
          <w:bCs/>
          <w:color w:val="231F20"/>
          <w:szCs w:val="24"/>
        </w:rPr>
        <w:t xml:space="preserve"> </w:t>
      </w:r>
      <w:proofErr w:type="gramStart"/>
      <w:r w:rsidRPr="008A5776">
        <w:rPr>
          <w:rFonts w:cs="Times New Roman"/>
          <w:bCs/>
          <w:color w:val="231F20"/>
          <w:szCs w:val="24"/>
        </w:rPr>
        <w:t>IZA Discussion Paper No. 1956.</w:t>
      </w:r>
      <w:proofErr w:type="gramEnd"/>
    </w:p>
    <w:p w:rsidR="00A46D56" w:rsidRPr="008A5776" w:rsidRDefault="00A46D56" w:rsidP="00380B4A">
      <w:pPr>
        <w:autoSpaceDE w:val="0"/>
        <w:autoSpaceDN w:val="0"/>
        <w:adjustRightInd w:val="0"/>
        <w:spacing w:after="0"/>
        <w:ind w:left="720" w:hanging="720"/>
        <w:rPr>
          <w:rFonts w:cs="Times New Roman"/>
          <w:szCs w:val="24"/>
        </w:rPr>
      </w:pPr>
    </w:p>
    <w:p w:rsidR="00A46D56" w:rsidRPr="008A5776" w:rsidRDefault="00F93DEA" w:rsidP="00380B4A">
      <w:pPr>
        <w:autoSpaceDE w:val="0"/>
        <w:autoSpaceDN w:val="0"/>
        <w:adjustRightInd w:val="0"/>
        <w:spacing w:after="0"/>
        <w:ind w:left="720" w:hanging="720"/>
        <w:rPr>
          <w:rFonts w:cs="Times New Roman"/>
          <w:szCs w:val="24"/>
        </w:rPr>
      </w:pPr>
      <w:r w:rsidRPr="008A5776">
        <w:rPr>
          <w:rFonts w:cs="Times New Roman"/>
          <w:szCs w:val="24"/>
        </w:rPr>
        <w:t>Cornwell, C</w:t>
      </w:r>
      <w:r w:rsidR="00222280">
        <w:rPr>
          <w:rFonts w:cs="Times New Roman"/>
          <w:szCs w:val="24"/>
        </w:rPr>
        <w:t>.</w:t>
      </w:r>
      <w:r w:rsidRPr="008A5776">
        <w:rPr>
          <w:rFonts w:cs="Times New Roman"/>
          <w:szCs w:val="24"/>
        </w:rPr>
        <w:t>, Mustard,</w:t>
      </w:r>
      <w:r w:rsidR="00222280">
        <w:rPr>
          <w:rFonts w:cs="Times New Roman"/>
          <w:szCs w:val="24"/>
        </w:rPr>
        <w:t xml:space="preserve"> D.B.,</w:t>
      </w:r>
      <w:r w:rsidRPr="008A5776">
        <w:rPr>
          <w:rFonts w:cs="Times New Roman"/>
          <w:szCs w:val="24"/>
        </w:rPr>
        <w:t xml:space="preserve"> Sridhar</w:t>
      </w:r>
      <w:r w:rsidR="00222280">
        <w:rPr>
          <w:rFonts w:cs="Times New Roman"/>
          <w:szCs w:val="24"/>
        </w:rPr>
        <w:t>, D.J.,</w:t>
      </w:r>
      <w:r w:rsidRPr="008A5776">
        <w:rPr>
          <w:rFonts w:cs="Times New Roman"/>
          <w:szCs w:val="24"/>
        </w:rPr>
        <w:t xml:space="preserve"> 2006. The </w:t>
      </w:r>
      <w:r w:rsidR="008A5776">
        <w:rPr>
          <w:rFonts w:cs="Times New Roman"/>
          <w:szCs w:val="24"/>
        </w:rPr>
        <w:t>e</w:t>
      </w:r>
      <w:r w:rsidRPr="008A5776">
        <w:rPr>
          <w:rFonts w:cs="Times New Roman"/>
          <w:szCs w:val="24"/>
        </w:rPr>
        <w:t xml:space="preserve">nrollment </w:t>
      </w:r>
      <w:r w:rsidR="008A5776">
        <w:rPr>
          <w:rFonts w:cs="Times New Roman"/>
          <w:szCs w:val="24"/>
        </w:rPr>
        <w:t>e</w:t>
      </w:r>
      <w:r w:rsidRPr="008A5776">
        <w:rPr>
          <w:rFonts w:cs="Times New Roman"/>
          <w:szCs w:val="24"/>
        </w:rPr>
        <w:t xml:space="preserve">ffects of </w:t>
      </w:r>
      <w:r w:rsidR="008A5776">
        <w:rPr>
          <w:rFonts w:cs="Times New Roman"/>
          <w:szCs w:val="24"/>
        </w:rPr>
        <w:t>m</w:t>
      </w:r>
      <w:r w:rsidRPr="008A5776">
        <w:rPr>
          <w:rFonts w:cs="Times New Roman"/>
          <w:szCs w:val="24"/>
        </w:rPr>
        <w:t>erit-</w:t>
      </w:r>
      <w:r w:rsidR="008A5776">
        <w:rPr>
          <w:rFonts w:cs="Times New Roman"/>
          <w:szCs w:val="24"/>
        </w:rPr>
        <w:t>b</w:t>
      </w:r>
      <w:r w:rsidRPr="008A5776">
        <w:rPr>
          <w:rFonts w:cs="Times New Roman"/>
          <w:szCs w:val="24"/>
        </w:rPr>
        <w:t xml:space="preserve">ased </w:t>
      </w:r>
      <w:r w:rsidR="008A5776">
        <w:rPr>
          <w:rFonts w:cs="Times New Roman"/>
          <w:szCs w:val="24"/>
        </w:rPr>
        <w:t>f</w:t>
      </w:r>
      <w:r w:rsidRPr="008A5776">
        <w:rPr>
          <w:rFonts w:cs="Times New Roman"/>
          <w:szCs w:val="24"/>
        </w:rPr>
        <w:t xml:space="preserve">inancial </w:t>
      </w:r>
      <w:r w:rsidR="008A5776">
        <w:rPr>
          <w:rFonts w:cs="Times New Roman"/>
          <w:szCs w:val="24"/>
        </w:rPr>
        <w:t>a</w:t>
      </w:r>
      <w:r w:rsidRPr="008A5776">
        <w:rPr>
          <w:rFonts w:cs="Times New Roman"/>
          <w:szCs w:val="24"/>
        </w:rPr>
        <w:t>id</w:t>
      </w:r>
      <w:r w:rsidR="008A5776">
        <w:rPr>
          <w:rFonts w:cs="Times New Roman"/>
          <w:szCs w:val="24"/>
        </w:rPr>
        <w:t xml:space="preserve">: </w:t>
      </w:r>
      <w:r w:rsidR="00222280">
        <w:rPr>
          <w:rFonts w:cs="Times New Roman"/>
          <w:szCs w:val="24"/>
        </w:rPr>
        <w:t>e</w:t>
      </w:r>
      <w:r w:rsidR="008A5776">
        <w:rPr>
          <w:rFonts w:cs="Times New Roman"/>
          <w:szCs w:val="24"/>
        </w:rPr>
        <w:t>vidence from Georgia’s HOPE p</w:t>
      </w:r>
      <w:r w:rsidRPr="008A5776">
        <w:rPr>
          <w:rFonts w:cs="Times New Roman"/>
          <w:szCs w:val="24"/>
        </w:rPr>
        <w:t>rogram. Journal of Labor Economics 24(4):761-86.</w:t>
      </w:r>
    </w:p>
    <w:p w:rsidR="00A46D56" w:rsidRPr="008A5776" w:rsidRDefault="00A46D56" w:rsidP="00380B4A">
      <w:pPr>
        <w:autoSpaceDE w:val="0"/>
        <w:autoSpaceDN w:val="0"/>
        <w:adjustRightInd w:val="0"/>
        <w:spacing w:after="0"/>
        <w:ind w:left="720" w:hanging="720"/>
        <w:rPr>
          <w:rFonts w:cs="Times New Roman"/>
          <w:szCs w:val="24"/>
        </w:rPr>
      </w:pPr>
    </w:p>
    <w:p w:rsidR="00A46D56" w:rsidRPr="008A5776" w:rsidRDefault="00F93DEA" w:rsidP="00380B4A">
      <w:pPr>
        <w:autoSpaceDE w:val="0"/>
        <w:autoSpaceDN w:val="0"/>
        <w:adjustRightInd w:val="0"/>
        <w:spacing w:after="0"/>
        <w:ind w:left="720" w:hanging="720"/>
        <w:rPr>
          <w:rFonts w:cs="Times New Roman"/>
          <w:szCs w:val="24"/>
        </w:rPr>
      </w:pPr>
      <w:proofErr w:type="spellStart"/>
      <w:proofErr w:type="gramStart"/>
      <w:r w:rsidRPr="008A5776">
        <w:rPr>
          <w:rFonts w:cs="Times New Roman"/>
          <w:szCs w:val="24"/>
        </w:rPr>
        <w:t>Dynarski</w:t>
      </w:r>
      <w:proofErr w:type="spellEnd"/>
      <w:r w:rsidRPr="008A5776">
        <w:rPr>
          <w:rFonts w:cs="Times New Roman"/>
          <w:szCs w:val="24"/>
        </w:rPr>
        <w:t>, S.</w:t>
      </w:r>
      <w:r w:rsidR="00222280">
        <w:rPr>
          <w:rFonts w:cs="Times New Roman"/>
          <w:szCs w:val="24"/>
        </w:rPr>
        <w:t>,</w:t>
      </w:r>
      <w:r w:rsidRPr="008A5776">
        <w:rPr>
          <w:rFonts w:cs="Times New Roman"/>
          <w:szCs w:val="24"/>
        </w:rPr>
        <w:t xml:space="preserve"> 2000.</w:t>
      </w:r>
      <w:proofErr w:type="gramEnd"/>
      <w:r w:rsidRPr="008A5776">
        <w:rPr>
          <w:rFonts w:cs="Times New Roman"/>
          <w:szCs w:val="24"/>
        </w:rPr>
        <w:t xml:space="preserve"> Hope for </w:t>
      </w:r>
      <w:r w:rsidR="008A5776">
        <w:rPr>
          <w:rFonts w:cs="Times New Roman"/>
          <w:szCs w:val="24"/>
        </w:rPr>
        <w:t>w</w:t>
      </w:r>
      <w:r w:rsidRPr="008A5776">
        <w:rPr>
          <w:rFonts w:cs="Times New Roman"/>
          <w:szCs w:val="24"/>
        </w:rPr>
        <w:t xml:space="preserve">hom? </w:t>
      </w:r>
      <w:proofErr w:type="gramStart"/>
      <w:r w:rsidR="00E62F81">
        <w:rPr>
          <w:rFonts w:cs="Times New Roman"/>
          <w:szCs w:val="24"/>
        </w:rPr>
        <w:t>f</w:t>
      </w:r>
      <w:r w:rsidRPr="008A5776">
        <w:rPr>
          <w:rFonts w:cs="Times New Roman"/>
          <w:szCs w:val="24"/>
        </w:rPr>
        <w:t>inancial</w:t>
      </w:r>
      <w:proofErr w:type="gramEnd"/>
      <w:r w:rsidRPr="008A5776">
        <w:rPr>
          <w:rFonts w:cs="Times New Roman"/>
          <w:szCs w:val="24"/>
        </w:rPr>
        <w:t xml:space="preserve"> </w:t>
      </w:r>
      <w:r w:rsidR="008A5776">
        <w:rPr>
          <w:rFonts w:cs="Times New Roman"/>
          <w:szCs w:val="24"/>
        </w:rPr>
        <w:t>a</w:t>
      </w:r>
      <w:r w:rsidRPr="008A5776">
        <w:rPr>
          <w:rFonts w:cs="Times New Roman"/>
          <w:szCs w:val="24"/>
        </w:rPr>
        <w:t xml:space="preserve">id for the </w:t>
      </w:r>
      <w:r w:rsidR="008A5776">
        <w:rPr>
          <w:rFonts w:cs="Times New Roman"/>
          <w:szCs w:val="24"/>
        </w:rPr>
        <w:t>m</w:t>
      </w:r>
      <w:r w:rsidRPr="008A5776">
        <w:rPr>
          <w:rFonts w:cs="Times New Roman"/>
          <w:szCs w:val="24"/>
        </w:rPr>
        <w:t xml:space="preserve">iddle </w:t>
      </w:r>
      <w:r w:rsidR="008A5776">
        <w:rPr>
          <w:rFonts w:cs="Times New Roman"/>
          <w:szCs w:val="24"/>
        </w:rPr>
        <w:t>c</w:t>
      </w:r>
      <w:r w:rsidRPr="008A5776">
        <w:rPr>
          <w:rFonts w:cs="Times New Roman"/>
          <w:szCs w:val="24"/>
        </w:rPr>
        <w:t xml:space="preserve">lass and </w:t>
      </w:r>
      <w:r w:rsidR="008A5776">
        <w:rPr>
          <w:rFonts w:cs="Times New Roman"/>
          <w:szCs w:val="24"/>
        </w:rPr>
        <w:t>i</w:t>
      </w:r>
      <w:r w:rsidRPr="008A5776">
        <w:rPr>
          <w:rFonts w:cs="Times New Roman"/>
          <w:szCs w:val="24"/>
        </w:rPr>
        <w:t xml:space="preserve">ts </w:t>
      </w:r>
      <w:r w:rsidR="008A5776">
        <w:rPr>
          <w:rFonts w:cs="Times New Roman"/>
          <w:szCs w:val="24"/>
        </w:rPr>
        <w:t>i</w:t>
      </w:r>
      <w:r w:rsidRPr="008A5776">
        <w:rPr>
          <w:rFonts w:cs="Times New Roman"/>
          <w:szCs w:val="24"/>
        </w:rPr>
        <w:t xml:space="preserve">mpact on </w:t>
      </w:r>
      <w:r w:rsidR="008A5776">
        <w:rPr>
          <w:rFonts w:cs="Times New Roman"/>
          <w:szCs w:val="24"/>
        </w:rPr>
        <w:t>c</w:t>
      </w:r>
      <w:r w:rsidRPr="008A5776">
        <w:rPr>
          <w:rFonts w:cs="Times New Roman"/>
          <w:szCs w:val="24"/>
        </w:rPr>
        <w:t xml:space="preserve">ollege </w:t>
      </w:r>
      <w:r w:rsidR="008A5776">
        <w:rPr>
          <w:rFonts w:cs="Times New Roman"/>
          <w:szCs w:val="24"/>
        </w:rPr>
        <w:t>a</w:t>
      </w:r>
      <w:r w:rsidRPr="008A5776">
        <w:rPr>
          <w:rFonts w:cs="Times New Roman"/>
          <w:szCs w:val="24"/>
        </w:rPr>
        <w:t>ttendance. National Tax Journal Part 2 53(3):629-61.</w:t>
      </w:r>
    </w:p>
    <w:p w:rsidR="00A46D56" w:rsidRPr="008A5776" w:rsidRDefault="00A46D56" w:rsidP="00380B4A">
      <w:pPr>
        <w:autoSpaceDE w:val="0"/>
        <w:autoSpaceDN w:val="0"/>
        <w:adjustRightInd w:val="0"/>
        <w:spacing w:after="0"/>
        <w:ind w:left="720" w:hanging="720"/>
        <w:rPr>
          <w:rFonts w:cs="Times New Roman"/>
          <w:szCs w:val="24"/>
        </w:rPr>
      </w:pPr>
    </w:p>
    <w:p w:rsidR="00A46D56" w:rsidRPr="008A5776" w:rsidRDefault="00A402F5" w:rsidP="00380B4A">
      <w:pPr>
        <w:autoSpaceDE w:val="0"/>
        <w:autoSpaceDN w:val="0"/>
        <w:adjustRightInd w:val="0"/>
        <w:spacing w:after="0"/>
        <w:ind w:left="720" w:hanging="720"/>
        <w:rPr>
          <w:rFonts w:cs="Times New Roman"/>
          <w:szCs w:val="24"/>
        </w:rPr>
      </w:pPr>
      <w:r w:rsidRPr="008A5776">
        <w:rPr>
          <w:rFonts w:cs="Times New Roman"/>
          <w:szCs w:val="24"/>
        </w:rPr>
        <w:t>———</w:t>
      </w:r>
      <w:r w:rsidR="00222280">
        <w:rPr>
          <w:rFonts w:cs="Times New Roman"/>
          <w:szCs w:val="24"/>
        </w:rPr>
        <w:t>,</w:t>
      </w:r>
      <w:r w:rsidRPr="008A5776">
        <w:rPr>
          <w:rFonts w:cs="Times New Roman"/>
          <w:szCs w:val="24"/>
        </w:rPr>
        <w:t xml:space="preserve"> 2002. </w:t>
      </w:r>
      <w:r w:rsidR="008A5776">
        <w:rPr>
          <w:rFonts w:cs="Times New Roman"/>
          <w:szCs w:val="24"/>
        </w:rPr>
        <w:t>The b</w:t>
      </w:r>
      <w:r w:rsidRPr="008A5776">
        <w:rPr>
          <w:rFonts w:cs="Times New Roman"/>
          <w:szCs w:val="24"/>
        </w:rPr>
        <w:t xml:space="preserve">ehavioral and </w:t>
      </w:r>
      <w:r w:rsidR="008A5776">
        <w:rPr>
          <w:rFonts w:cs="Times New Roman"/>
          <w:szCs w:val="24"/>
        </w:rPr>
        <w:t>d</w:t>
      </w:r>
      <w:r w:rsidRPr="008A5776">
        <w:rPr>
          <w:rFonts w:cs="Times New Roman"/>
          <w:szCs w:val="24"/>
        </w:rPr>
        <w:t xml:space="preserve">istributional </w:t>
      </w:r>
      <w:r w:rsidR="008A5776">
        <w:rPr>
          <w:rFonts w:cs="Times New Roman"/>
          <w:szCs w:val="24"/>
        </w:rPr>
        <w:t>i</w:t>
      </w:r>
      <w:r w:rsidRPr="008A5776">
        <w:rPr>
          <w:rFonts w:cs="Times New Roman"/>
          <w:szCs w:val="24"/>
        </w:rPr>
        <w:t xml:space="preserve">mplications of </w:t>
      </w:r>
      <w:r w:rsidR="008A5776">
        <w:rPr>
          <w:rFonts w:cs="Times New Roman"/>
          <w:szCs w:val="24"/>
        </w:rPr>
        <w:t>a</w:t>
      </w:r>
      <w:r w:rsidRPr="008A5776">
        <w:rPr>
          <w:rFonts w:cs="Times New Roman"/>
          <w:szCs w:val="24"/>
        </w:rPr>
        <w:t xml:space="preserve">id for </w:t>
      </w:r>
      <w:r w:rsidR="008A5776">
        <w:rPr>
          <w:rFonts w:cs="Times New Roman"/>
          <w:szCs w:val="24"/>
        </w:rPr>
        <w:t>c</w:t>
      </w:r>
      <w:r w:rsidRPr="008A5776">
        <w:rPr>
          <w:rFonts w:cs="Times New Roman"/>
          <w:szCs w:val="24"/>
        </w:rPr>
        <w:t>ollege. American Economic Review 92(2):279–85.</w:t>
      </w:r>
    </w:p>
    <w:p w:rsidR="00A46D56" w:rsidRPr="008A5776" w:rsidRDefault="00A46D56" w:rsidP="00380B4A">
      <w:pPr>
        <w:autoSpaceDE w:val="0"/>
        <w:autoSpaceDN w:val="0"/>
        <w:adjustRightInd w:val="0"/>
        <w:spacing w:after="0"/>
        <w:ind w:left="720" w:hanging="720"/>
        <w:rPr>
          <w:rFonts w:cs="Times New Roman"/>
          <w:szCs w:val="24"/>
        </w:rPr>
      </w:pPr>
    </w:p>
    <w:p w:rsidR="00A46D56" w:rsidRPr="008A5776" w:rsidRDefault="00222280" w:rsidP="00380B4A">
      <w:pPr>
        <w:autoSpaceDE w:val="0"/>
        <w:autoSpaceDN w:val="0"/>
        <w:adjustRightInd w:val="0"/>
        <w:spacing w:after="0"/>
        <w:ind w:left="720" w:hanging="720"/>
        <w:rPr>
          <w:rFonts w:cs="Times New Roman"/>
          <w:szCs w:val="24"/>
        </w:rPr>
      </w:pPr>
      <w:r>
        <w:rPr>
          <w:rFonts w:cs="Times New Roman"/>
          <w:szCs w:val="24"/>
        </w:rPr>
        <w:t>———,</w:t>
      </w:r>
      <w:r w:rsidR="00F93DEA" w:rsidRPr="008A5776">
        <w:rPr>
          <w:rFonts w:cs="Times New Roman"/>
          <w:szCs w:val="24"/>
        </w:rPr>
        <w:t xml:space="preserve"> 2004. The </w:t>
      </w:r>
      <w:r w:rsidR="008A5776">
        <w:rPr>
          <w:rFonts w:cs="Times New Roman"/>
          <w:szCs w:val="24"/>
        </w:rPr>
        <w:t>n</w:t>
      </w:r>
      <w:r w:rsidR="00F93DEA" w:rsidRPr="008A5776">
        <w:rPr>
          <w:rFonts w:cs="Times New Roman"/>
          <w:szCs w:val="24"/>
        </w:rPr>
        <w:t xml:space="preserve">ew </w:t>
      </w:r>
      <w:r w:rsidR="008A5776">
        <w:rPr>
          <w:rFonts w:cs="Times New Roman"/>
          <w:szCs w:val="24"/>
        </w:rPr>
        <w:t>m</w:t>
      </w:r>
      <w:r w:rsidR="00F93DEA" w:rsidRPr="008A5776">
        <w:rPr>
          <w:rFonts w:cs="Times New Roman"/>
          <w:szCs w:val="24"/>
        </w:rPr>
        <w:t xml:space="preserve">erit </w:t>
      </w:r>
      <w:r w:rsidR="008A5776">
        <w:rPr>
          <w:rFonts w:cs="Times New Roman"/>
          <w:szCs w:val="24"/>
        </w:rPr>
        <w:t>a</w:t>
      </w:r>
      <w:r w:rsidR="00F93DEA" w:rsidRPr="008A5776">
        <w:rPr>
          <w:rFonts w:cs="Times New Roman"/>
          <w:szCs w:val="24"/>
        </w:rPr>
        <w:t>id</w:t>
      </w:r>
      <w:r w:rsidR="008A5776">
        <w:rPr>
          <w:rFonts w:cs="Times New Roman"/>
          <w:szCs w:val="24"/>
        </w:rPr>
        <w:t>, in:</w:t>
      </w:r>
      <w:r w:rsidR="00F93DEA" w:rsidRPr="008A5776">
        <w:rPr>
          <w:rFonts w:cs="Times New Roman"/>
          <w:szCs w:val="24"/>
        </w:rPr>
        <w:t xml:space="preserve"> </w:t>
      </w:r>
      <w:r w:rsidR="008A5776" w:rsidRPr="008A5776">
        <w:rPr>
          <w:rFonts w:cs="Times New Roman"/>
          <w:szCs w:val="24"/>
        </w:rPr>
        <w:t xml:space="preserve">Caroline </w:t>
      </w:r>
      <w:proofErr w:type="spellStart"/>
      <w:r w:rsidR="008A5776" w:rsidRPr="008A5776">
        <w:rPr>
          <w:rFonts w:cs="Times New Roman"/>
          <w:szCs w:val="24"/>
        </w:rPr>
        <w:t>Hoxby</w:t>
      </w:r>
      <w:proofErr w:type="spellEnd"/>
      <w:r w:rsidR="008A5776" w:rsidRPr="008A5776">
        <w:rPr>
          <w:rFonts w:cs="Times New Roman"/>
          <w:szCs w:val="24"/>
        </w:rPr>
        <w:t xml:space="preserve"> </w:t>
      </w:r>
      <w:r w:rsidR="008A5776">
        <w:rPr>
          <w:rFonts w:cs="Times New Roman"/>
          <w:szCs w:val="24"/>
        </w:rPr>
        <w:t xml:space="preserve">(Ed), </w:t>
      </w:r>
      <w:r w:rsidR="00F93DEA" w:rsidRPr="008A5776">
        <w:rPr>
          <w:rFonts w:cs="Times New Roman"/>
          <w:szCs w:val="24"/>
        </w:rPr>
        <w:t xml:space="preserve">College </w:t>
      </w:r>
      <w:r w:rsidR="008A5776">
        <w:rPr>
          <w:rFonts w:cs="Times New Roman"/>
          <w:szCs w:val="24"/>
        </w:rPr>
        <w:t>c</w:t>
      </w:r>
      <w:r w:rsidR="00F93DEA" w:rsidRPr="008A5776">
        <w:rPr>
          <w:rFonts w:cs="Times New Roman"/>
          <w:szCs w:val="24"/>
        </w:rPr>
        <w:t xml:space="preserve">hoices: </w:t>
      </w:r>
      <w:r w:rsidR="00E62F81">
        <w:rPr>
          <w:rFonts w:cs="Times New Roman"/>
          <w:szCs w:val="24"/>
        </w:rPr>
        <w:t>t</w:t>
      </w:r>
      <w:r w:rsidR="00F93DEA" w:rsidRPr="008A5776">
        <w:rPr>
          <w:rFonts w:cs="Times New Roman"/>
          <w:szCs w:val="24"/>
        </w:rPr>
        <w:t xml:space="preserve">he </w:t>
      </w:r>
      <w:r w:rsidR="008A5776">
        <w:rPr>
          <w:rFonts w:cs="Times New Roman"/>
          <w:szCs w:val="24"/>
        </w:rPr>
        <w:t>economics of w</w:t>
      </w:r>
      <w:r w:rsidR="00F93DEA" w:rsidRPr="008A5776">
        <w:rPr>
          <w:rFonts w:cs="Times New Roman"/>
          <w:szCs w:val="24"/>
        </w:rPr>
        <w:t xml:space="preserve">here to </w:t>
      </w:r>
      <w:r w:rsidR="008A5776">
        <w:rPr>
          <w:rFonts w:cs="Times New Roman"/>
          <w:szCs w:val="24"/>
        </w:rPr>
        <w:t>g</w:t>
      </w:r>
      <w:r w:rsidR="00F93DEA" w:rsidRPr="008A5776">
        <w:rPr>
          <w:rFonts w:cs="Times New Roman"/>
          <w:szCs w:val="24"/>
        </w:rPr>
        <w:t xml:space="preserve">o, </w:t>
      </w:r>
      <w:r w:rsidR="008A5776">
        <w:rPr>
          <w:rFonts w:cs="Times New Roman"/>
          <w:szCs w:val="24"/>
        </w:rPr>
        <w:t>w</w:t>
      </w:r>
      <w:r w:rsidR="00F93DEA" w:rsidRPr="008A5776">
        <w:rPr>
          <w:rFonts w:cs="Times New Roman"/>
          <w:szCs w:val="24"/>
        </w:rPr>
        <w:t xml:space="preserve">hen to </w:t>
      </w:r>
      <w:r w:rsidR="008A5776">
        <w:rPr>
          <w:rFonts w:cs="Times New Roman"/>
          <w:szCs w:val="24"/>
        </w:rPr>
        <w:t>g</w:t>
      </w:r>
      <w:r w:rsidR="00F93DEA" w:rsidRPr="008A5776">
        <w:rPr>
          <w:rFonts w:cs="Times New Roman"/>
          <w:szCs w:val="24"/>
        </w:rPr>
        <w:t xml:space="preserve">o, and </w:t>
      </w:r>
      <w:r w:rsidR="008A5776">
        <w:rPr>
          <w:rFonts w:cs="Times New Roman"/>
          <w:szCs w:val="24"/>
        </w:rPr>
        <w:t>h</w:t>
      </w:r>
      <w:r w:rsidR="00F93DEA" w:rsidRPr="008A5776">
        <w:rPr>
          <w:rFonts w:cs="Times New Roman"/>
          <w:szCs w:val="24"/>
        </w:rPr>
        <w:t xml:space="preserve">ow to </w:t>
      </w:r>
      <w:r w:rsidR="008A5776">
        <w:rPr>
          <w:rFonts w:cs="Times New Roman"/>
          <w:szCs w:val="24"/>
        </w:rPr>
        <w:t>p</w:t>
      </w:r>
      <w:r w:rsidR="00F93DEA" w:rsidRPr="008A5776">
        <w:rPr>
          <w:rFonts w:cs="Times New Roman"/>
          <w:szCs w:val="24"/>
        </w:rPr>
        <w:t xml:space="preserve">ay for </w:t>
      </w:r>
      <w:r w:rsidR="008A5776">
        <w:rPr>
          <w:rFonts w:cs="Times New Roman"/>
          <w:szCs w:val="24"/>
        </w:rPr>
        <w:t>i</w:t>
      </w:r>
      <w:r w:rsidR="00F93DEA" w:rsidRPr="008A5776">
        <w:rPr>
          <w:rFonts w:cs="Times New Roman"/>
          <w:szCs w:val="24"/>
        </w:rPr>
        <w:t>t. Chicago: University of Chicago Press</w:t>
      </w:r>
      <w:r w:rsidR="008A5776">
        <w:rPr>
          <w:rFonts w:cs="Times New Roman"/>
          <w:szCs w:val="24"/>
        </w:rPr>
        <w:t>, pp</w:t>
      </w:r>
      <w:r w:rsidR="00F93DEA" w:rsidRPr="008A5776">
        <w:rPr>
          <w:rFonts w:cs="Times New Roman"/>
          <w:szCs w:val="24"/>
        </w:rPr>
        <w:t>.</w:t>
      </w:r>
      <w:r w:rsidR="008A5776" w:rsidRPr="008A5776">
        <w:rPr>
          <w:rFonts w:cs="Times New Roman"/>
          <w:szCs w:val="24"/>
        </w:rPr>
        <w:t xml:space="preserve"> 63-97</w:t>
      </w:r>
      <w:r w:rsidR="008A5776">
        <w:rPr>
          <w:rFonts w:cs="Times New Roman"/>
          <w:szCs w:val="24"/>
        </w:rPr>
        <w:t>.</w:t>
      </w:r>
    </w:p>
    <w:p w:rsidR="00A46D56" w:rsidRPr="008A5776" w:rsidRDefault="00A46D56" w:rsidP="00380B4A">
      <w:pPr>
        <w:autoSpaceDE w:val="0"/>
        <w:autoSpaceDN w:val="0"/>
        <w:adjustRightInd w:val="0"/>
        <w:spacing w:after="0"/>
        <w:ind w:left="720" w:hanging="720"/>
        <w:rPr>
          <w:rFonts w:cs="Times New Roman"/>
          <w:szCs w:val="24"/>
        </w:rPr>
      </w:pPr>
    </w:p>
    <w:p w:rsidR="00A46D56" w:rsidRPr="008A5776" w:rsidRDefault="00222280" w:rsidP="00380B4A">
      <w:pPr>
        <w:autoSpaceDE w:val="0"/>
        <w:autoSpaceDN w:val="0"/>
        <w:adjustRightInd w:val="0"/>
        <w:spacing w:after="0"/>
        <w:ind w:left="720" w:hanging="720"/>
        <w:rPr>
          <w:rFonts w:cs="Times New Roman"/>
          <w:szCs w:val="24"/>
        </w:rPr>
      </w:pPr>
      <w:r>
        <w:rPr>
          <w:rFonts w:cs="Times New Roman"/>
          <w:szCs w:val="24"/>
        </w:rPr>
        <w:t>———,</w:t>
      </w:r>
      <w:r w:rsidR="00F93DEA" w:rsidRPr="008A5776">
        <w:rPr>
          <w:rFonts w:cs="Times New Roman"/>
          <w:szCs w:val="24"/>
        </w:rPr>
        <w:t xml:space="preserve"> 2008. </w:t>
      </w:r>
      <w:proofErr w:type="gramStart"/>
      <w:r w:rsidR="00E62F81">
        <w:rPr>
          <w:rFonts w:cs="Times New Roman"/>
          <w:szCs w:val="24"/>
        </w:rPr>
        <w:t>B</w:t>
      </w:r>
      <w:r w:rsidR="00F93DEA" w:rsidRPr="008A5776">
        <w:rPr>
          <w:rFonts w:cs="Times New Roman"/>
          <w:szCs w:val="24"/>
        </w:rPr>
        <w:t xml:space="preserve">uilding the </w:t>
      </w:r>
      <w:r w:rsidR="008A5776">
        <w:rPr>
          <w:rFonts w:cs="Times New Roman"/>
          <w:szCs w:val="24"/>
        </w:rPr>
        <w:t>s</w:t>
      </w:r>
      <w:r w:rsidR="00F93DEA" w:rsidRPr="008A5776">
        <w:rPr>
          <w:rFonts w:cs="Times New Roman"/>
          <w:szCs w:val="24"/>
        </w:rPr>
        <w:t xml:space="preserve">tock of </w:t>
      </w:r>
      <w:r w:rsidR="008A5776">
        <w:rPr>
          <w:rFonts w:cs="Times New Roman"/>
          <w:szCs w:val="24"/>
        </w:rPr>
        <w:t>c</w:t>
      </w:r>
      <w:r w:rsidR="00F93DEA" w:rsidRPr="008A5776">
        <w:rPr>
          <w:rFonts w:cs="Times New Roman"/>
          <w:szCs w:val="24"/>
        </w:rPr>
        <w:t>ollege-</w:t>
      </w:r>
      <w:r w:rsidR="008A5776">
        <w:rPr>
          <w:rFonts w:cs="Times New Roman"/>
          <w:szCs w:val="24"/>
        </w:rPr>
        <w:t>e</w:t>
      </w:r>
      <w:r w:rsidR="00F93DEA" w:rsidRPr="008A5776">
        <w:rPr>
          <w:rFonts w:cs="Times New Roman"/>
          <w:szCs w:val="24"/>
        </w:rPr>
        <w:t xml:space="preserve">ducated </w:t>
      </w:r>
      <w:r w:rsidR="008A5776">
        <w:rPr>
          <w:rFonts w:cs="Times New Roman"/>
          <w:szCs w:val="24"/>
        </w:rPr>
        <w:t>l</w:t>
      </w:r>
      <w:r w:rsidR="00F93DEA" w:rsidRPr="008A5776">
        <w:rPr>
          <w:rFonts w:cs="Times New Roman"/>
          <w:szCs w:val="24"/>
        </w:rPr>
        <w:t>abor.</w:t>
      </w:r>
      <w:proofErr w:type="gramEnd"/>
      <w:r w:rsidR="00F93DEA" w:rsidRPr="008A5776">
        <w:rPr>
          <w:rFonts w:cs="Times New Roman"/>
          <w:szCs w:val="24"/>
        </w:rPr>
        <w:t xml:space="preserve"> Journal of Human Resources 43(3):576-610.</w:t>
      </w:r>
    </w:p>
    <w:p w:rsidR="00A46D56" w:rsidRPr="008A5776" w:rsidRDefault="00A46D56" w:rsidP="00380B4A">
      <w:pPr>
        <w:autoSpaceDE w:val="0"/>
        <w:autoSpaceDN w:val="0"/>
        <w:adjustRightInd w:val="0"/>
        <w:spacing w:after="0"/>
        <w:ind w:left="720" w:hanging="720"/>
        <w:rPr>
          <w:rFonts w:cs="Times New Roman"/>
          <w:szCs w:val="24"/>
        </w:rPr>
      </w:pPr>
    </w:p>
    <w:p w:rsidR="004C12CE" w:rsidRPr="008A5776" w:rsidRDefault="004C12CE" w:rsidP="004C12CE">
      <w:pPr>
        <w:autoSpaceDE w:val="0"/>
        <w:autoSpaceDN w:val="0"/>
        <w:adjustRightInd w:val="0"/>
        <w:spacing w:after="0"/>
        <w:ind w:left="720" w:hanging="720"/>
        <w:contextualSpacing w:val="0"/>
        <w:rPr>
          <w:rFonts w:cs="Times New Roman"/>
          <w:bCs/>
          <w:szCs w:val="24"/>
        </w:rPr>
      </w:pPr>
      <w:r w:rsidRPr="008A5776">
        <w:rPr>
          <w:rFonts w:cs="Times New Roman"/>
          <w:bCs/>
          <w:szCs w:val="24"/>
        </w:rPr>
        <w:lastRenderedPageBreak/>
        <w:t xml:space="preserve">Farrell, </w:t>
      </w:r>
      <w:r w:rsidR="00222280">
        <w:rPr>
          <w:rFonts w:cs="Times New Roman"/>
          <w:bCs/>
          <w:szCs w:val="24"/>
        </w:rPr>
        <w:t>P.</w:t>
      </w:r>
      <w:r w:rsidRPr="008A5776">
        <w:rPr>
          <w:rFonts w:cs="Times New Roman"/>
          <w:bCs/>
          <w:szCs w:val="24"/>
        </w:rPr>
        <w:t>L.</w:t>
      </w:r>
      <w:r w:rsidR="00222280">
        <w:rPr>
          <w:rFonts w:cs="Times New Roman"/>
          <w:bCs/>
          <w:szCs w:val="24"/>
        </w:rPr>
        <w:t>,</w:t>
      </w:r>
      <w:r w:rsidRPr="008A5776">
        <w:rPr>
          <w:rFonts w:cs="Times New Roman"/>
          <w:bCs/>
          <w:szCs w:val="24"/>
        </w:rPr>
        <w:t xml:space="preserve"> </w:t>
      </w:r>
      <w:proofErr w:type="spellStart"/>
      <w:r w:rsidRPr="008A5776">
        <w:rPr>
          <w:rFonts w:cs="Times New Roman"/>
          <w:bCs/>
          <w:szCs w:val="24"/>
        </w:rPr>
        <w:t>Kienzl</w:t>
      </w:r>
      <w:proofErr w:type="spellEnd"/>
      <w:r w:rsidR="00222280">
        <w:rPr>
          <w:rFonts w:cs="Times New Roman"/>
          <w:bCs/>
          <w:szCs w:val="24"/>
        </w:rPr>
        <w:t>, G.S</w:t>
      </w:r>
      <w:proofErr w:type="gramStart"/>
      <w:r w:rsidR="00222280">
        <w:rPr>
          <w:rFonts w:cs="Times New Roman"/>
          <w:bCs/>
          <w:szCs w:val="24"/>
        </w:rPr>
        <w:t>,.</w:t>
      </w:r>
      <w:proofErr w:type="gramEnd"/>
      <w:r w:rsidRPr="008A5776">
        <w:rPr>
          <w:rFonts w:cs="Times New Roman"/>
          <w:bCs/>
          <w:szCs w:val="24"/>
        </w:rPr>
        <w:t xml:space="preserve"> </w:t>
      </w:r>
      <w:proofErr w:type="gramStart"/>
      <w:r w:rsidRPr="008A5776">
        <w:rPr>
          <w:rFonts w:cs="Times New Roman"/>
          <w:bCs/>
          <w:szCs w:val="24"/>
        </w:rPr>
        <w:t xml:space="preserve">2009. </w:t>
      </w:r>
      <w:r w:rsidR="008A5776">
        <w:rPr>
          <w:rFonts w:cs="Times New Roman"/>
          <w:bCs/>
          <w:szCs w:val="24"/>
        </w:rPr>
        <w:t>Are</w:t>
      </w:r>
      <w:proofErr w:type="gramEnd"/>
      <w:r w:rsidR="008A5776">
        <w:rPr>
          <w:rFonts w:cs="Times New Roman"/>
          <w:bCs/>
          <w:szCs w:val="24"/>
        </w:rPr>
        <w:t xml:space="preserve"> state non-n</w:t>
      </w:r>
      <w:r w:rsidRPr="008A5776">
        <w:rPr>
          <w:rFonts w:cs="Times New Roman"/>
          <w:bCs/>
          <w:szCs w:val="24"/>
        </w:rPr>
        <w:t xml:space="preserve">eed, </w:t>
      </w:r>
      <w:r w:rsidR="008A5776">
        <w:rPr>
          <w:rFonts w:cs="Times New Roman"/>
          <w:bCs/>
          <w:szCs w:val="24"/>
        </w:rPr>
        <w:t>m</w:t>
      </w:r>
      <w:r w:rsidRPr="008A5776">
        <w:rPr>
          <w:rFonts w:cs="Times New Roman"/>
          <w:bCs/>
          <w:szCs w:val="24"/>
        </w:rPr>
        <w:t>erit-</w:t>
      </w:r>
      <w:r w:rsidR="008A5776">
        <w:rPr>
          <w:rFonts w:cs="Times New Roman"/>
          <w:bCs/>
          <w:szCs w:val="24"/>
        </w:rPr>
        <w:t>b</w:t>
      </w:r>
      <w:r w:rsidRPr="008A5776">
        <w:rPr>
          <w:rFonts w:cs="Times New Roman"/>
          <w:bCs/>
          <w:szCs w:val="24"/>
        </w:rPr>
        <w:t xml:space="preserve">ased </w:t>
      </w:r>
      <w:r w:rsidR="008A5776">
        <w:rPr>
          <w:rFonts w:cs="Times New Roman"/>
          <w:bCs/>
          <w:szCs w:val="24"/>
        </w:rPr>
        <w:t>scholarship p</w:t>
      </w:r>
      <w:r w:rsidRPr="008A5776">
        <w:rPr>
          <w:rFonts w:cs="Times New Roman"/>
          <w:bCs/>
          <w:szCs w:val="24"/>
        </w:rPr>
        <w:t xml:space="preserve">rograms </w:t>
      </w:r>
      <w:r w:rsidR="008A5776">
        <w:rPr>
          <w:rFonts w:cs="Times New Roman"/>
          <w:bCs/>
          <w:szCs w:val="24"/>
        </w:rPr>
        <w:t>i</w:t>
      </w:r>
      <w:r w:rsidRPr="008A5776">
        <w:rPr>
          <w:rFonts w:cs="Times New Roman"/>
          <w:bCs/>
          <w:szCs w:val="24"/>
        </w:rPr>
        <w:t xml:space="preserve">mpacting </w:t>
      </w:r>
      <w:r w:rsidR="008A5776">
        <w:rPr>
          <w:rFonts w:cs="Times New Roman"/>
          <w:bCs/>
          <w:szCs w:val="24"/>
        </w:rPr>
        <w:t>college e</w:t>
      </w:r>
      <w:r w:rsidRPr="008A5776">
        <w:rPr>
          <w:rFonts w:cs="Times New Roman"/>
          <w:bCs/>
          <w:szCs w:val="24"/>
        </w:rPr>
        <w:t xml:space="preserve">nrollment? </w:t>
      </w:r>
      <w:r w:rsidR="00B154E4" w:rsidRPr="008A5776">
        <w:rPr>
          <w:rFonts w:cs="Times New Roman"/>
          <w:bCs/>
          <w:szCs w:val="24"/>
        </w:rPr>
        <w:t>Education Finance and Policy</w:t>
      </w:r>
      <w:r w:rsidRPr="008A5776">
        <w:rPr>
          <w:rFonts w:cs="Times New Roman"/>
          <w:bCs/>
          <w:szCs w:val="24"/>
        </w:rPr>
        <w:t xml:space="preserve"> 4(2): 150-174.</w:t>
      </w:r>
    </w:p>
    <w:p w:rsidR="004C12CE" w:rsidRPr="008A5776" w:rsidRDefault="004C12CE" w:rsidP="004C12CE">
      <w:pPr>
        <w:autoSpaceDE w:val="0"/>
        <w:autoSpaceDN w:val="0"/>
        <w:adjustRightInd w:val="0"/>
        <w:spacing w:after="0"/>
        <w:ind w:left="720" w:hanging="720"/>
        <w:contextualSpacing w:val="0"/>
        <w:rPr>
          <w:rFonts w:cs="Times New Roman"/>
          <w:bCs/>
          <w:szCs w:val="24"/>
        </w:rPr>
      </w:pPr>
    </w:p>
    <w:p w:rsidR="00DF3BCE" w:rsidRPr="008A5776" w:rsidRDefault="007716B0">
      <w:pPr>
        <w:autoSpaceDE w:val="0"/>
        <w:autoSpaceDN w:val="0"/>
        <w:adjustRightInd w:val="0"/>
        <w:spacing w:after="0"/>
        <w:ind w:left="720" w:hanging="720"/>
        <w:rPr>
          <w:rFonts w:cs="Times New Roman"/>
          <w:szCs w:val="24"/>
        </w:rPr>
      </w:pPr>
      <w:r w:rsidRPr="008A5776">
        <w:rPr>
          <w:rFonts w:cs="Times New Roman"/>
          <w:szCs w:val="24"/>
        </w:rPr>
        <w:t>Florida, R</w:t>
      </w:r>
      <w:r w:rsidR="003576E1">
        <w:rPr>
          <w:rFonts w:cs="Times New Roman"/>
          <w:szCs w:val="24"/>
        </w:rPr>
        <w:t>.</w:t>
      </w:r>
      <w:r w:rsidRPr="008A5776">
        <w:rPr>
          <w:rFonts w:cs="Times New Roman"/>
          <w:szCs w:val="24"/>
        </w:rPr>
        <w:t xml:space="preserve">, </w:t>
      </w:r>
      <w:proofErr w:type="spellStart"/>
      <w:r w:rsidRPr="008A5776">
        <w:rPr>
          <w:rFonts w:cs="Times New Roman"/>
          <w:szCs w:val="24"/>
        </w:rPr>
        <w:t>Mellander</w:t>
      </w:r>
      <w:proofErr w:type="spellEnd"/>
      <w:r w:rsidRPr="008A5776">
        <w:rPr>
          <w:rFonts w:cs="Times New Roman"/>
          <w:szCs w:val="24"/>
        </w:rPr>
        <w:t>,</w:t>
      </w:r>
      <w:r w:rsidR="003576E1">
        <w:rPr>
          <w:rFonts w:cs="Times New Roman"/>
          <w:szCs w:val="24"/>
        </w:rPr>
        <w:t xml:space="preserve"> C.,</w:t>
      </w:r>
      <w:r w:rsidRPr="008A5776">
        <w:rPr>
          <w:rFonts w:cs="Times New Roman"/>
          <w:szCs w:val="24"/>
        </w:rPr>
        <w:t xml:space="preserve"> </w:t>
      </w:r>
      <w:proofErr w:type="spellStart"/>
      <w:r w:rsidRPr="008A5776">
        <w:rPr>
          <w:rFonts w:cs="Times New Roman"/>
          <w:szCs w:val="24"/>
        </w:rPr>
        <w:t>Stolarick</w:t>
      </w:r>
      <w:proofErr w:type="spellEnd"/>
      <w:r w:rsidR="003576E1">
        <w:rPr>
          <w:rFonts w:cs="Times New Roman"/>
          <w:szCs w:val="24"/>
        </w:rPr>
        <w:t xml:space="preserve"> K.,</w:t>
      </w:r>
      <w:r w:rsidRPr="008A5776">
        <w:rPr>
          <w:rFonts w:cs="Times New Roman"/>
          <w:szCs w:val="24"/>
        </w:rPr>
        <w:t xml:space="preserve"> 2008. Inside the </w:t>
      </w:r>
      <w:r w:rsidR="008A5776">
        <w:rPr>
          <w:rFonts w:cs="Times New Roman"/>
          <w:szCs w:val="24"/>
        </w:rPr>
        <w:t>black b</w:t>
      </w:r>
      <w:r w:rsidRPr="008A5776">
        <w:rPr>
          <w:rFonts w:cs="Times New Roman"/>
          <w:szCs w:val="24"/>
        </w:rPr>
        <w:t xml:space="preserve">ox of </w:t>
      </w:r>
      <w:r w:rsidR="008A5776">
        <w:rPr>
          <w:rFonts w:cs="Times New Roman"/>
          <w:szCs w:val="24"/>
        </w:rPr>
        <w:t>r</w:t>
      </w:r>
      <w:r w:rsidRPr="008A5776">
        <w:rPr>
          <w:rFonts w:cs="Times New Roman"/>
          <w:szCs w:val="24"/>
        </w:rPr>
        <w:t xml:space="preserve">egional </w:t>
      </w:r>
      <w:r w:rsidR="008A5776">
        <w:rPr>
          <w:rFonts w:cs="Times New Roman"/>
          <w:szCs w:val="24"/>
        </w:rPr>
        <w:t>development—h</w:t>
      </w:r>
      <w:r w:rsidRPr="008A5776">
        <w:rPr>
          <w:rFonts w:cs="Times New Roman"/>
          <w:szCs w:val="24"/>
        </w:rPr>
        <w:t xml:space="preserve">uman </w:t>
      </w:r>
      <w:r w:rsidR="008A5776">
        <w:rPr>
          <w:rFonts w:cs="Times New Roman"/>
          <w:szCs w:val="24"/>
        </w:rPr>
        <w:t>c</w:t>
      </w:r>
      <w:r w:rsidRPr="008A5776">
        <w:rPr>
          <w:rFonts w:cs="Times New Roman"/>
          <w:szCs w:val="24"/>
        </w:rPr>
        <w:t xml:space="preserve">apital, the </w:t>
      </w:r>
      <w:r w:rsidR="008A5776">
        <w:rPr>
          <w:rFonts w:cs="Times New Roman"/>
          <w:szCs w:val="24"/>
        </w:rPr>
        <w:t>c</w:t>
      </w:r>
      <w:r w:rsidRPr="008A5776">
        <w:rPr>
          <w:rFonts w:cs="Times New Roman"/>
          <w:szCs w:val="24"/>
        </w:rPr>
        <w:t xml:space="preserve">reative </w:t>
      </w:r>
      <w:r w:rsidR="008A5776">
        <w:rPr>
          <w:rFonts w:cs="Times New Roman"/>
          <w:szCs w:val="24"/>
        </w:rPr>
        <w:t>class, and t</w:t>
      </w:r>
      <w:r w:rsidRPr="008A5776">
        <w:rPr>
          <w:rFonts w:cs="Times New Roman"/>
          <w:szCs w:val="24"/>
        </w:rPr>
        <w:t>olerance</w:t>
      </w:r>
      <w:r w:rsidR="000861EA">
        <w:rPr>
          <w:rFonts w:cs="Times New Roman"/>
          <w:szCs w:val="24"/>
        </w:rPr>
        <w:t>.</w:t>
      </w:r>
      <w:r w:rsidRPr="008A5776">
        <w:rPr>
          <w:rFonts w:cs="Times New Roman"/>
          <w:szCs w:val="24"/>
        </w:rPr>
        <w:t xml:space="preserve"> </w:t>
      </w:r>
      <w:r w:rsidRPr="008A5776">
        <w:rPr>
          <w:rFonts w:cs="Times New Roman"/>
          <w:iCs/>
          <w:szCs w:val="24"/>
        </w:rPr>
        <w:t>Journal of Economic Geography</w:t>
      </w:r>
      <w:r w:rsidRPr="008A5776">
        <w:rPr>
          <w:rFonts w:cs="Times New Roman"/>
          <w:szCs w:val="24"/>
        </w:rPr>
        <w:t xml:space="preserve"> 8(5), 615-649. </w:t>
      </w:r>
    </w:p>
    <w:p w:rsidR="00A76455" w:rsidRPr="008A5776" w:rsidRDefault="00A76455">
      <w:pPr>
        <w:autoSpaceDE w:val="0"/>
        <w:autoSpaceDN w:val="0"/>
        <w:adjustRightInd w:val="0"/>
        <w:spacing w:after="0"/>
        <w:ind w:left="720" w:hanging="720"/>
        <w:rPr>
          <w:rFonts w:cs="Times New Roman"/>
          <w:szCs w:val="24"/>
        </w:rPr>
      </w:pPr>
    </w:p>
    <w:p w:rsidR="00A76455" w:rsidRPr="008A5776" w:rsidRDefault="00A76455">
      <w:pPr>
        <w:autoSpaceDE w:val="0"/>
        <w:autoSpaceDN w:val="0"/>
        <w:adjustRightInd w:val="0"/>
        <w:spacing w:after="0"/>
        <w:ind w:left="720" w:hanging="720"/>
        <w:rPr>
          <w:rFonts w:cs="Times New Roman"/>
          <w:szCs w:val="24"/>
        </w:rPr>
      </w:pPr>
      <w:proofErr w:type="gramStart"/>
      <w:r w:rsidRPr="008A5776">
        <w:rPr>
          <w:rFonts w:cs="Times New Roman"/>
        </w:rPr>
        <w:t>Georgia Student Finance Commission.</w:t>
      </w:r>
      <w:proofErr w:type="gramEnd"/>
      <w:r w:rsidRPr="008A5776">
        <w:rPr>
          <w:rFonts w:cs="Times New Roman"/>
        </w:rPr>
        <w:t xml:space="preserve"> 2011. Scholarship &amp; </w:t>
      </w:r>
      <w:r w:rsidR="00B03A64">
        <w:rPr>
          <w:rFonts w:cs="Times New Roman"/>
        </w:rPr>
        <w:t>g</w:t>
      </w:r>
      <w:r w:rsidRPr="008A5776">
        <w:rPr>
          <w:rFonts w:cs="Times New Roman"/>
        </w:rPr>
        <w:t xml:space="preserve">rant </w:t>
      </w:r>
      <w:r w:rsidR="00B03A64">
        <w:rPr>
          <w:rFonts w:cs="Times New Roman"/>
        </w:rPr>
        <w:t>a</w:t>
      </w:r>
      <w:r w:rsidRPr="008A5776">
        <w:rPr>
          <w:rFonts w:cs="Times New Roman"/>
        </w:rPr>
        <w:t xml:space="preserve">ward </w:t>
      </w:r>
      <w:r w:rsidR="00B03A64">
        <w:rPr>
          <w:rFonts w:cs="Times New Roman"/>
        </w:rPr>
        <w:t>h</w:t>
      </w:r>
      <w:r w:rsidRPr="008A5776">
        <w:rPr>
          <w:rFonts w:cs="Times New Roman"/>
        </w:rPr>
        <w:t>istory</w:t>
      </w:r>
      <w:r w:rsidR="00B03A64">
        <w:rPr>
          <w:rFonts w:cs="Times New Roman"/>
        </w:rPr>
        <w:t>.</w:t>
      </w:r>
      <w:r w:rsidRPr="008A5776">
        <w:rPr>
          <w:rFonts w:cs="Times New Roman"/>
        </w:rPr>
        <w:t xml:space="preserve"> </w:t>
      </w:r>
      <w:hyperlink r:id="rId11" w:history="1">
        <w:r w:rsidRPr="008A5776">
          <w:rPr>
            <w:rStyle w:val="Hyperlink"/>
            <w:rFonts w:cs="Times New Roman"/>
          </w:rPr>
          <w:t>http://www.gsfc.org/gsfcnew/SANDG_FACTS.CFM?sec=3</w:t>
        </w:r>
      </w:hyperlink>
      <w:r w:rsidRPr="008A5776">
        <w:rPr>
          <w:rFonts w:cs="Times New Roman"/>
        </w:rPr>
        <w:t>, accessed December 7, 2011.</w:t>
      </w:r>
    </w:p>
    <w:p w:rsidR="00DF3BCE" w:rsidRPr="008A5776" w:rsidRDefault="00DF3BCE">
      <w:pPr>
        <w:autoSpaceDE w:val="0"/>
        <w:autoSpaceDN w:val="0"/>
        <w:adjustRightInd w:val="0"/>
        <w:spacing w:after="0"/>
        <w:ind w:left="720" w:hanging="720"/>
        <w:rPr>
          <w:rFonts w:cs="Times New Roman"/>
          <w:szCs w:val="24"/>
        </w:rPr>
      </w:pPr>
    </w:p>
    <w:p w:rsidR="00DF3BCE" w:rsidRPr="008A5776" w:rsidRDefault="007716B0">
      <w:pPr>
        <w:autoSpaceDE w:val="0"/>
        <w:autoSpaceDN w:val="0"/>
        <w:adjustRightInd w:val="0"/>
        <w:spacing w:after="0"/>
        <w:ind w:left="720" w:hanging="720"/>
        <w:rPr>
          <w:rFonts w:eastAsia="Calibri" w:cs="Times New Roman"/>
          <w:szCs w:val="24"/>
        </w:rPr>
      </w:pPr>
      <w:proofErr w:type="spellStart"/>
      <w:r w:rsidRPr="008A5776">
        <w:rPr>
          <w:rFonts w:eastAsia="Calibri" w:cs="Times New Roman"/>
          <w:szCs w:val="24"/>
        </w:rPr>
        <w:t>Glaeser</w:t>
      </w:r>
      <w:proofErr w:type="spellEnd"/>
      <w:r w:rsidRPr="008A5776">
        <w:rPr>
          <w:rFonts w:eastAsia="Calibri" w:cs="Times New Roman"/>
          <w:szCs w:val="24"/>
        </w:rPr>
        <w:t>, E</w:t>
      </w:r>
      <w:r w:rsidR="003576E1">
        <w:rPr>
          <w:rFonts w:eastAsia="Calibri" w:cs="Times New Roman"/>
          <w:szCs w:val="24"/>
        </w:rPr>
        <w:t>.</w:t>
      </w:r>
      <w:r w:rsidRPr="008A5776">
        <w:rPr>
          <w:rFonts w:eastAsia="Calibri" w:cs="Times New Roman"/>
          <w:szCs w:val="24"/>
        </w:rPr>
        <w:t>L.</w:t>
      </w:r>
      <w:r w:rsidR="003576E1">
        <w:rPr>
          <w:rFonts w:eastAsia="Calibri" w:cs="Times New Roman"/>
          <w:szCs w:val="24"/>
        </w:rPr>
        <w:t>,</w:t>
      </w:r>
      <w:r w:rsidRPr="008A5776">
        <w:rPr>
          <w:rFonts w:eastAsia="Calibri" w:cs="Times New Roman"/>
          <w:szCs w:val="24"/>
        </w:rPr>
        <w:t xml:space="preserve"> </w:t>
      </w:r>
      <w:proofErr w:type="spellStart"/>
      <w:r w:rsidRPr="008A5776">
        <w:rPr>
          <w:rFonts w:eastAsia="Calibri" w:cs="Times New Roman"/>
          <w:szCs w:val="24"/>
        </w:rPr>
        <w:t>Saiz</w:t>
      </w:r>
      <w:proofErr w:type="spellEnd"/>
      <w:r w:rsidR="003576E1">
        <w:rPr>
          <w:rFonts w:eastAsia="Calibri" w:cs="Times New Roman"/>
          <w:szCs w:val="24"/>
        </w:rPr>
        <w:t>, A.,</w:t>
      </w:r>
      <w:r w:rsidRPr="008A5776">
        <w:rPr>
          <w:rFonts w:eastAsia="Calibri" w:cs="Times New Roman"/>
          <w:szCs w:val="24"/>
        </w:rPr>
        <w:t xml:space="preserve"> 2004. The </w:t>
      </w:r>
      <w:r w:rsidR="00B03A64">
        <w:rPr>
          <w:rFonts w:eastAsia="Calibri" w:cs="Times New Roman"/>
          <w:szCs w:val="24"/>
        </w:rPr>
        <w:t>r</w:t>
      </w:r>
      <w:r w:rsidRPr="008A5776">
        <w:rPr>
          <w:rFonts w:eastAsia="Calibri" w:cs="Times New Roman"/>
          <w:szCs w:val="24"/>
        </w:rPr>
        <w:t xml:space="preserve">ise of the </w:t>
      </w:r>
      <w:r w:rsidR="00B03A64">
        <w:rPr>
          <w:rFonts w:eastAsia="Calibri" w:cs="Times New Roman"/>
          <w:szCs w:val="24"/>
        </w:rPr>
        <w:t>s</w:t>
      </w:r>
      <w:r w:rsidRPr="008A5776">
        <w:rPr>
          <w:rFonts w:eastAsia="Calibri" w:cs="Times New Roman"/>
          <w:szCs w:val="24"/>
        </w:rPr>
        <w:t xml:space="preserve">killed </w:t>
      </w:r>
      <w:r w:rsidR="00B03A64">
        <w:rPr>
          <w:rFonts w:eastAsia="Calibri" w:cs="Times New Roman"/>
          <w:szCs w:val="24"/>
        </w:rPr>
        <w:t>c</w:t>
      </w:r>
      <w:r w:rsidRPr="008A5776">
        <w:rPr>
          <w:rFonts w:eastAsia="Calibri" w:cs="Times New Roman"/>
          <w:szCs w:val="24"/>
        </w:rPr>
        <w:t>ity</w:t>
      </w:r>
      <w:r w:rsidR="00B03A64">
        <w:rPr>
          <w:rFonts w:eastAsia="Calibri" w:cs="Times New Roman"/>
          <w:szCs w:val="24"/>
        </w:rPr>
        <w:t>.</w:t>
      </w:r>
      <w:r w:rsidRPr="008A5776">
        <w:rPr>
          <w:rFonts w:eastAsia="Calibri" w:cs="Times New Roman"/>
          <w:szCs w:val="24"/>
        </w:rPr>
        <w:t xml:space="preserve"> Brookings-Wharton Papers on Urban Affairs 47-94.</w:t>
      </w:r>
    </w:p>
    <w:p w:rsidR="00DF3BCE" w:rsidRPr="008A5776" w:rsidRDefault="00DF3BCE">
      <w:pPr>
        <w:autoSpaceDE w:val="0"/>
        <w:autoSpaceDN w:val="0"/>
        <w:adjustRightInd w:val="0"/>
        <w:spacing w:after="0"/>
      </w:pPr>
    </w:p>
    <w:p w:rsidR="004C12CE" w:rsidRPr="008A5776" w:rsidRDefault="003576E1" w:rsidP="004C12CE">
      <w:pPr>
        <w:autoSpaceDE w:val="0"/>
        <w:autoSpaceDN w:val="0"/>
        <w:adjustRightInd w:val="0"/>
        <w:spacing w:after="0"/>
        <w:ind w:left="720" w:hanging="720"/>
        <w:contextualSpacing w:val="0"/>
        <w:rPr>
          <w:rFonts w:cs="Times New Roman"/>
          <w:bCs/>
          <w:szCs w:val="24"/>
        </w:rPr>
      </w:pPr>
      <w:r>
        <w:rPr>
          <w:rFonts w:cs="Times New Roman"/>
          <w:bCs/>
          <w:szCs w:val="24"/>
        </w:rPr>
        <w:t>Goodman, J</w:t>
      </w:r>
      <w:r w:rsidR="004C12CE" w:rsidRPr="008A5776">
        <w:rPr>
          <w:rFonts w:cs="Times New Roman"/>
          <w:bCs/>
          <w:szCs w:val="24"/>
        </w:rPr>
        <w:t>.</w:t>
      </w:r>
      <w:r>
        <w:rPr>
          <w:rFonts w:cs="Times New Roman"/>
          <w:bCs/>
          <w:szCs w:val="24"/>
        </w:rPr>
        <w:t>,</w:t>
      </w:r>
      <w:r w:rsidR="004C12CE" w:rsidRPr="008A5776">
        <w:rPr>
          <w:rFonts w:cs="Times New Roman"/>
          <w:bCs/>
          <w:szCs w:val="24"/>
        </w:rPr>
        <w:t xml:space="preserve"> 2008. </w:t>
      </w:r>
      <w:r w:rsidR="004C12CE" w:rsidRPr="008A5776">
        <w:rPr>
          <w:rFonts w:cs="Times New Roman"/>
          <w:szCs w:val="24"/>
        </w:rPr>
        <w:t xml:space="preserve">Who </w:t>
      </w:r>
      <w:r w:rsidR="00B03A64">
        <w:rPr>
          <w:rFonts w:cs="Times New Roman"/>
          <w:szCs w:val="24"/>
        </w:rPr>
        <w:t>m</w:t>
      </w:r>
      <w:r w:rsidR="004C12CE" w:rsidRPr="008A5776">
        <w:rPr>
          <w:rFonts w:cs="Times New Roman"/>
          <w:szCs w:val="24"/>
        </w:rPr>
        <w:t xml:space="preserve">erits </w:t>
      </w:r>
      <w:r w:rsidR="00B03A64">
        <w:rPr>
          <w:rFonts w:cs="Times New Roman"/>
          <w:szCs w:val="24"/>
        </w:rPr>
        <w:t>f</w:t>
      </w:r>
      <w:r w:rsidR="004C12CE" w:rsidRPr="008A5776">
        <w:rPr>
          <w:rFonts w:cs="Times New Roman"/>
          <w:szCs w:val="24"/>
        </w:rPr>
        <w:t xml:space="preserve">inancial </w:t>
      </w:r>
      <w:r w:rsidR="00B03A64">
        <w:rPr>
          <w:rFonts w:cs="Times New Roman"/>
          <w:szCs w:val="24"/>
        </w:rPr>
        <w:t>a</w:t>
      </w:r>
      <w:r w:rsidR="004C12CE" w:rsidRPr="008A5776">
        <w:rPr>
          <w:rFonts w:cs="Times New Roman"/>
          <w:szCs w:val="24"/>
        </w:rPr>
        <w:t>id</w:t>
      </w:r>
      <w:proofErr w:type="gramStart"/>
      <w:r w:rsidR="004C12CE" w:rsidRPr="008A5776">
        <w:rPr>
          <w:rFonts w:cs="Times New Roman"/>
          <w:szCs w:val="24"/>
        </w:rPr>
        <w:t>?:</w:t>
      </w:r>
      <w:proofErr w:type="gramEnd"/>
      <w:r w:rsidR="004C12CE" w:rsidRPr="008A5776">
        <w:rPr>
          <w:rFonts w:cs="Times New Roman"/>
          <w:szCs w:val="24"/>
        </w:rPr>
        <w:t xml:space="preserve"> Massachusetts' Adams Scholarship</w:t>
      </w:r>
      <w:r w:rsidR="00B03A64">
        <w:rPr>
          <w:rFonts w:cs="Times New Roman"/>
          <w:szCs w:val="24"/>
        </w:rPr>
        <w:t>.</w:t>
      </w:r>
      <w:r w:rsidR="004C12CE" w:rsidRPr="008A5776">
        <w:rPr>
          <w:rFonts w:cs="Times New Roman"/>
          <w:szCs w:val="24"/>
        </w:rPr>
        <w:t xml:space="preserve"> Journal of Public Economics 92: 2121-2131.</w:t>
      </w:r>
    </w:p>
    <w:p w:rsidR="004C12CE" w:rsidRPr="008A5776" w:rsidRDefault="004C12CE" w:rsidP="004C12CE">
      <w:pPr>
        <w:autoSpaceDE w:val="0"/>
        <w:autoSpaceDN w:val="0"/>
        <w:adjustRightInd w:val="0"/>
        <w:spacing w:after="0"/>
        <w:contextualSpacing w:val="0"/>
        <w:rPr>
          <w:rFonts w:eastAsia="Calibri" w:cs="Times New Roman"/>
          <w:szCs w:val="24"/>
        </w:rPr>
      </w:pPr>
    </w:p>
    <w:p w:rsidR="00533442" w:rsidRPr="008A5776" w:rsidRDefault="004663EC" w:rsidP="00110EB4">
      <w:pPr>
        <w:autoSpaceDE w:val="0"/>
        <w:autoSpaceDN w:val="0"/>
        <w:adjustRightInd w:val="0"/>
        <w:spacing w:after="0"/>
        <w:ind w:left="720" w:hanging="720"/>
      </w:pPr>
      <w:proofErr w:type="spellStart"/>
      <w:r w:rsidRPr="008A5776">
        <w:t>Groen</w:t>
      </w:r>
      <w:proofErr w:type="spellEnd"/>
      <w:r w:rsidRPr="008A5776">
        <w:t>, J</w:t>
      </w:r>
      <w:r w:rsidR="003576E1">
        <w:t>.</w:t>
      </w:r>
      <w:r w:rsidRPr="008A5776">
        <w:t>A.</w:t>
      </w:r>
      <w:r w:rsidR="003576E1">
        <w:t>,</w:t>
      </w:r>
      <w:r w:rsidRPr="008A5776">
        <w:t xml:space="preserve"> 2004. </w:t>
      </w:r>
      <w:proofErr w:type="gramStart"/>
      <w:r w:rsidRPr="008A5776">
        <w:t xml:space="preserve">The </w:t>
      </w:r>
      <w:r w:rsidR="00B03A64">
        <w:t>e</w:t>
      </w:r>
      <w:r w:rsidRPr="008A5776">
        <w:t xml:space="preserve">ffect of </w:t>
      </w:r>
      <w:r w:rsidR="00B03A64">
        <w:t>c</w:t>
      </w:r>
      <w:r w:rsidRPr="008A5776">
        <w:t xml:space="preserve">ollege </w:t>
      </w:r>
      <w:r w:rsidR="00B03A64">
        <w:t>l</w:t>
      </w:r>
      <w:r w:rsidRPr="008A5776">
        <w:t xml:space="preserve">ocation on </w:t>
      </w:r>
      <w:r w:rsidR="00B03A64">
        <w:t>m</w:t>
      </w:r>
      <w:r w:rsidRPr="008A5776">
        <w:t xml:space="preserve">igration of </w:t>
      </w:r>
      <w:r w:rsidR="00B03A64">
        <w:t>c</w:t>
      </w:r>
      <w:r w:rsidRPr="008A5776">
        <w:t xml:space="preserve">ollege-educated </w:t>
      </w:r>
      <w:r w:rsidR="00B03A64">
        <w:t>l</w:t>
      </w:r>
      <w:r w:rsidRPr="008A5776">
        <w:t>abor.</w:t>
      </w:r>
      <w:proofErr w:type="gramEnd"/>
      <w:r w:rsidRPr="008A5776">
        <w:t xml:space="preserve"> </w:t>
      </w:r>
      <w:r w:rsidR="00AD4D1F" w:rsidRPr="008A5776">
        <w:t>Journal of Econometrics</w:t>
      </w:r>
      <w:r w:rsidRPr="008A5776">
        <w:t xml:space="preserve"> 121 (1-2): 125-142.</w:t>
      </w:r>
    </w:p>
    <w:p w:rsidR="00A46D56" w:rsidRPr="008A5776" w:rsidRDefault="00A46D56" w:rsidP="00380B4A">
      <w:pPr>
        <w:autoSpaceDE w:val="0"/>
        <w:autoSpaceDN w:val="0"/>
        <w:adjustRightInd w:val="0"/>
        <w:spacing w:after="0"/>
        <w:ind w:left="720" w:hanging="720"/>
        <w:rPr>
          <w:rFonts w:cs="Times New Roman"/>
          <w:szCs w:val="24"/>
        </w:rPr>
      </w:pPr>
    </w:p>
    <w:p w:rsidR="00715864" w:rsidRPr="008A5776" w:rsidRDefault="00715864" w:rsidP="00715864">
      <w:pPr>
        <w:autoSpaceDE w:val="0"/>
        <w:autoSpaceDN w:val="0"/>
        <w:adjustRightInd w:val="0"/>
        <w:spacing w:after="0"/>
        <w:ind w:left="720" w:hanging="720"/>
        <w:contextualSpacing w:val="0"/>
        <w:rPr>
          <w:rFonts w:cs="Times New Roman"/>
          <w:szCs w:val="24"/>
        </w:rPr>
      </w:pPr>
      <w:proofErr w:type="spellStart"/>
      <w:r w:rsidRPr="008A5776">
        <w:rPr>
          <w:rFonts w:cs="Times New Roman"/>
          <w:bCs/>
          <w:szCs w:val="24"/>
        </w:rPr>
        <w:t>Groen</w:t>
      </w:r>
      <w:proofErr w:type="spellEnd"/>
      <w:r w:rsidRPr="008A5776">
        <w:rPr>
          <w:rFonts w:cs="Times New Roman"/>
          <w:bCs/>
          <w:szCs w:val="24"/>
        </w:rPr>
        <w:t>, J</w:t>
      </w:r>
      <w:r w:rsidR="003576E1">
        <w:rPr>
          <w:rFonts w:cs="Times New Roman"/>
          <w:bCs/>
          <w:szCs w:val="24"/>
        </w:rPr>
        <w:t>.</w:t>
      </w:r>
      <w:r w:rsidRPr="008A5776">
        <w:rPr>
          <w:rFonts w:cs="Times New Roman"/>
          <w:bCs/>
          <w:szCs w:val="24"/>
        </w:rPr>
        <w:t>A.</w:t>
      </w:r>
      <w:r w:rsidR="003576E1">
        <w:rPr>
          <w:rFonts w:cs="Times New Roman"/>
          <w:bCs/>
          <w:szCs w:val="24"/>
        </w:rPr>
        <w:t>,</w:t>
      </w:r>
      <w:r w:rsidRPr="008A5776">
        <w:rPr>
          <w:rFonts w:cs="Times New Roman"/>
          <w:bCs/>
          <w:szCs w:val="24"/>
        </w:rPr>
        <w:t xml:space="preserve"> 2011. </w:t>
      </w:r>
      <w:proofErr w:type="gramStart"/>
      <w:r w:rsidR="00B03A64">
        <w:rPr>
          <w:rFonts w:cs="Times New Roman"/>
          <w:bCs/>
          <w:szCs w:val="24"/>
        </w:rPr>
        <w:t>Building k</w:t>
      </w:r>
      <w:r w:rsidRPr="008A5776">
        <w:rPr>
          <w:rFonts w:cs="Times New Roman"/>
          <w:bCs/>
          <w:szCs w:val="24"/>
        </w:rPr>
        <w:t xml:space="preserve">nowledge </w:t>
      </w:r>
      <w:r w:rsidR="00B03A64">
        <w:rPr>
          <w:rFonts w:cs="Times New Roman"/>
          <w:bCs/>
          <w:szCs w:val="24"/>
        </w:rPr>
        <w:t>s</w:t>
      </w:r>
      <w:r w:rsidRPr="008A5776">
        <w:rPr>
          <w:rFonts w:cs="Times New Roman"/>
          <w:bCs/>
          <w:szCs w:val="24"/>
        </w:rPr>
        <w:t xml:space="preserve">tocks </w:t>
      </w:r>
      <w:r w:rsidR="00B03A64">
        <w:rPr>
          <w:rFonts w:cs="Times New Roman"/>
          <w:bCs/>
          <w:szCs w:val="24"/>
        </w:rPr>
        <w:t>l</w:t>
      </w:r>
      <w:r w:rsidR="003576E1">
        <w:rPr>
          <w:rFonts w:cs="Times New Roman"/>
          <w:bCs/>
          <w:szCs w:val="24"/>
        </w:rPr>
        <w:t>ocally: c</w:t>
      </w:r>
      <w:r w:rsidRPr="008A5776">
        <w:rPr>
          <w:rFonts w:cs="Times New Roman"/>
          <w:bCs/>
          <w:szCs w:val="24"/>
        </w:rPr>
        <w:t xml:space="preserve">onsequences of </w:t>
      </w:r>
      <w:r w:rsidR="00B03A64">
        <w:rPr>
          <w:rFonts w:cs="Times New Roman"/>
          <w:bCs/>
          <w:szCs w:val="24"/>
        </w:rPr>
        <w:t>geographic m</w:t>
      </w:r>
      <w:r w:rsidRPr="008A5776">
        <w:rPr>
          <w:rFonts w:cs="Times New Roman"/>
          <w:bCs/>
          <w:szCs w:val="24"/>
        </w:rPr>
        <w:t xml:space="preserve">obility for the </w:t>
      </w:r>
      <w:r w:rsidR="00B03A64">
        <w:rPr>
          <w:rFonts w:cs="Times New Roman"/>
          <w:bCs/>
          <w:szCs w:val="24"/>
        </w:rPr>
        <w:t>e</w:t>
      </w:r>
      <w:r w:rsidRPr="008A5776">
        <w:rPr>
          <w:rFonts w:cs="Times New Roman"/>
          <w:bCs/>
          <w:szCs w:val="24"/>
        </w:rPr>
        <w:t xml:space="preserve">ffectiveness of </w:t>
      </w:r>
      <w:r w:rsidR="00B03A64">
        <w:rPr>
          <w:rFonts w:cs="Times New Roman"/>
          <w:bCs/>
          <w:szCs w:val="24"/>
        </w:rPr>
        <w:t>state h</w:t>
      </w:r>
      <w:r w:rsidRPr="008A5776">
        <w:rPr>
          <w:rFonts w:cs="Times New Roman"/>
          <w:bCs/>
          <w:szCs w:val="24"/>
        </w:rPr>
        <w:t xml:space="preserve">igher </w:t>
      </w:r>
      <w:r w:rsidR="00B03A64">
        <w:rPr>
          <w:rFonts w:cs="Times New Roman"/>
          <w:bCs/>
          <w:szCs w:val="24"/>
        </w:rPr>
        <w:t>e</w:t>
      </w:r>
      <w:r w:rsidRPr="008A5776">
        <w:rPr>
          <w:rFonts w:cs="Times New Roman"/>
          <w:bCs/>
          <w:szCs w:val="24"/>
        </w:rPr>
        <w:t xml:space="preserve">ducation </w:t>
      </w:r>
      <w:r w:rsidR="00B03A64">
        <w:rPr>
          <w:rFonts w:cs="Times New Roman"/>
          <w:bCs/>
          <w:szCs w:val="24"/>
        </w:rPr>
        <w:t>p</w:t>
      </w:r>
      <w:r w:rsidRPr="008A5776">
        <w:rPr>
          <w:rFonts w:cs="Times New Roman"/>
          <w:bCs/>
          <w:szCs w:val="24"/>
        </w:rPr>
        <w:t>olicies.</w:t>
      </w:r>
      <w:proofErr w:type="gramEnd"/>
      <w:r w:rsidRPr="008A5776">
        <w:rPr>
          <w:rFonts w:cs="Times New Roman"/>
          <w:bCs/>
          <w:szCs w:val="24"/>
        </w:rPr>
        <w:t xml:space="preserve"> Economic Development Quarterly</w:t>
      </w:r>
      <w:r w:rsidR="00456FD2" w:rsidRPr="008A5776">
        <w:rPr>
          <w:rFonts w:cs="Times New Roman"/>
          <w:bCs/>
          <w:szCs w:val="24"/>
        </w:rPr>
        <w:t xml:space="preserve"> 25(4), 316-329.</w:t>
      </w:r>
    </w:p>
    <w:p w:rsidR="00A46D56" w:rsidRPr="008A5776" w:rsidRDefault="00A46D56" w:rsidP="00380B4A">
      <w:pPr>
        <w:autoSpaceDE w:val="0"/>
        <w:autoSpaceDN w:val="0"/>
        <w:adjustRightInd w:val="0"/>
        <w:spacing w:after="0"/>
        <w:ind w:left="720" w:hanging="720"/>
        <w:rPr>
          <w:rFonts w:cs="Times New Roman"/>
          <w:szCs w:val="24"/>
        </w:rPr>
      </w:pPr>
    </w:p>
    <w:p w:rsidR="00715864" w:rsidRPr="008A5776" w:rsidRDefault="00715864" w:rsidP="00715864">
      <w:pPr>
        <w:autoSpaceDE w:val="0"/>
        <w:autoSpaceDN w:val="0"/>
        <w:adjustRightInd w:val="0"/>
        <w:spacing w:after="0"/>
        <w:ind w:left="720" w:hanging="720"/>
        <w:contextualSpacing w:val="0"/>
        <w:rPr>
          <w:rFonts w:cs="Times New Roman"/>
          <w:szCs w:val="24"/>
        </w:rPr>
      </w:pPr>
      <w:proofErr w:type="spellStart"/>
      <w:r w:rsidRPr="008A5776">
        <w:rPr>
          <w:rFonts w:cs="Times New Roman"/>
          <w:szCs w:val="24"/>
        </w:rPr>
        <w:t>Groen</w:t>
      </w:r>
      <w:proofErr w:type="spellEnd"/>
      <w:r w:rsidRPr="008A5776">
        <w:rPr>
          <w:rFonts w:cs="Times New Roman"/>
          <w:szCs w:val="24"/>
        </w:rPr>
        <w:t>, J</w:t>
      </w:r>
      <w:r w:rsidR="003576E1">
        <w:rPr>
          <w:rFonts w:cs="Times New Roman"/>
          <w:szCs w:val="24"/>
        </w:rPr>
        <w:t>.</w:t>
      </w:r>
      <w:r w:rsidRPr="008A5776">
        <w:rPr>
          <w:rFonts w:cs="Times New Roman"/>
          <w:szCs w:val="24"/>
        </w:rPr>
        <w:t>A., White</w:t>
      </w:r>
      <w:r w:rsidR="003576E1">
        <w:rPr>
          <w:rFonts w:cs="Times New Roman"/>
          <w:szCs w:val="24"/>
        </w:rPr>
        <w:t>, M.J.,</w:t>
      </w:r>
      <w:r w:rsidRPr="008A5776">
        <w:rPr>
          <w:rFonts w:cs="Times New Roman"/>
          <w:szCs w:val="24"/>
        </w:rPr>
        <w:t xml:space="preserve"> 2004. In-state versus out-of-state students: The divergence of interest between public universities and state governments. </w:t>
      </w:r>
      <w:r w:rsidRPr="008A5776">
        <w:rPr>
          <w:rFonts w:cs="Times New Roman"/>
          <w:iCs/>
          <w:szCs w:val="24"/>
        </w:rPr>
        <w:t>Journal of Public Economics 88(9-10)</w:t>
      </w:r>
      <w:r w:rsidRPr="008A5776">
        <w:rPr>
          <w:rFonts w:cs="Times New Roman"/>
          <w:szCs w:val="24"/>
        </w:rPr>
        <w:t>, 1793-1814.</w:t>
      </w:r>
    </w:p>
    <w:p w:rsidR="00A4038A" w:rsidRPr="008A5776" w:rsidRDefault="00A4038A" w:rsidP="00715864">
      <w:pPr>
        <w:autoSpaceDE w:val="0"/>
        <w:autoSpaceDN w:val="0"/>
        <w:adjustRightInd w:val="0"/>
        <w:spacing w:after="0"/>
        <w:ind w:left="720" w:hanging="720"/>
        <w:contextualSpacing w:val="0"/>
        <w:rPr>
          <w:rFonts w:cs="Times New Roman"/>
          <w:szCs w:val="24"/>
        </w:rPr>
      </w:pPr>
    </w:p>
    <w:p w:rsidR="00A4038A" w:rsidRPr="008A5776" w:rsidRDefault="00A4038A" w:rsidP="00A4038A">
      <w:pPr>
        <w:autoSpaceDE w:val="0"/>
        <w:autoSpaceDN w:val="0"/>
        <w:adjustRightInd w:val="0"/>
        <w:spacing w:after="0"/>
        <w:ind w:left="720" w:hanging="720"/>
        <w:rPr>
          <w:rFonts w:cs="Times New Roman"/>
          <w:szCs w:val="24"/>
        </w:rPr>
      </w:pPr>
      <w:r w:rsidRPr="008A5776">
        <w:rPr>
          <w:rFonts w:cs="Times New Roman"/>
          <w:szCs w:val="24"/>
        </w:rPr>
        <w:t>Hawley, Z</w:t>
      </w:r>
      <w:r w:rsidR="003576E1">
        <w:rPr>
          <w:rFonts w:cs="Times New Roman"/>
          <w:szCs w:val="24"/>
        </w:rPr>
        <w:t>.</w:t>
      </w:r>
      <w:r w:rsidRPr="008A5776">
        <w:rPr>
          <w:rFonts w:cs="Times New Roman"/>
          <w:szCs w:val="24"/>
        </w:rPr>
        <w:t xml:space="preserve">B., </w:t>
      </w:r>
      <w:proofErr w:type="spellStart"/>
      <w:r w:rsidRPr="008A5776">
        <w:rPr>
          <w:rFonts w:cs="Times New Roman"/>
          <w:szCs w:val="24"/>
        </w:rPr>
        <w:t>Rork</w:t>
      </w:r>
      <w:proofErr w:type="spellEnd"/>
      <w:r w:rsidR="003576E1">
        <w:rPr>
          <w:rFonts w:cs="Times New Roman"/>
          <w:szCs w:val="24"/>
        </w:rPr>
        <w:t>, J.C.,</w:t>
      </w:r>
      <w:r w:rsidRPr="008A5776">
        <w:rPr>
          <w:rFonts w:cs="Times New Roman"/>
          <w:szCs w:val="24"/>
        </w:rPr>
        <w:t xml:space="preserve"> </w:t>
      </w:r>
      <w:r w:rsidR="006D73B9" w:rsidRPr="008A5776">
        <w:rPr>
          <w:rFonts w:cs="Times New Roman"/>
          <w:szCs w:val="24"/>
        </w:rPr>
        <w:t>2013</w:t>
      </w:r>
      <w:r w:rsidRPr="008A5776">
        <w:rPr>
          <w:rFonts w:cs="Times New Roman"/>
          <w:szCs w:val="24"/>
        </w:rPr>
        <w:t xml:space="preserve">. The </w:t>
      </w:r>
      <w:r w:rsidR="003576E1">
        <w:rPr>
          <w:rFonts w:cs="Times New Roman"/>
          <w:szCs w:val="24"/>
        </w:rPr>
        <w:t>c</w:t>
      </w:r>
      <w:r w:rsidRPr="008A5776">
        <w:rPr>
          <w:rFonts w:cs="Times New Roman"/>
          <w:szCs w:val="24"/>
        </w:rPr>
        <w:t xml:space="preserve">ase of </w:t>
      </w:r>
      <w:r w:rsidR="003576E1">
        <w:rPr>
          <w:rFonts w:cs="Times New Roman"/>
          <w:szCs w:val="24"/>
        </w:rPr>
        <w:t>s</w:t>
      </w:r>
      <w:r w:rsidRPr="008A5776">
        <w:rPr>
          <w:rFonts w:cs="Times New Roman"/>
          <w:szCs w:val="24"/>
        </w:rPr>
        <w:t xml:space="preserve">tate </w:t>
      </w:r>
      <w:r w:rsidR="003576E1">
        <w:rPr>
          <w:rFonts w:cs="Times New Roman"/>
          <w:szCs w:val="24"/>
        </w:rPr>
        <w:t>f</w:t>
      </w:r>
      <w:r w:rsidRPr="008A5776">
        <w:rPr>
          <w:rFonts w:cs="Times New Roman"/>
          <w:szCs w:val="24"/>
        </w:rPr>
        <w:t xml:space="preserve">unded </w:t>
      </w:r>
      <w:r w:rsidR="003576E1">
        <w:rPr>
          <w:rFonts w:cs="Times New Roman"/>
          <w:szCs w:val="24"/>
        </w:rPr>
        <w:t>h</w:t>
      </w:r>
      <w:r w:rsidRPr="008A5776">
        <w:rPr>
          <w:rFonts w:cs="Times New Roman"/>
          <w:szCs w:val="24"/>
        </w:rPr>
        <w:t xml:space="preserve">igher </w:t>
      </w:r>
      <w:r w:rsidR="003576E1">
        <w:rPr>
          <w:rFonts w:cs="Times New Roman"/>
          <w:szCs w:val="24"/>
        </w:rPr>
        <w:t>e</w:t>
      </w:r>
      <w:r w:rsidRPr="008A5776">
        <w:rPr>
          <w:rFonts w:cs="Times New Roman"/>
          <w:szCs w:val="24"/>
        </w:rPr>
        <w:t xml:space="preserve">ducation </w:t>
      </w:r>
      <w:r w:rsidR="003576E1">
        <w:rPr>
          <w:rFonts w:cs="Times New Roman"/>
          <w:szCs w:val="24"/>
        </w:rPr>
        <w:t>s</w:t>
      </w:r>
      <w:r w:rsidRPr="008A5776">
        <w:rPr>
          <w:rFonts w:cs="Times New Roman"/>
          <w:szCs w:val="24"/>
        </w:rPr>
        <w:t xml:space="preserve">cholarship </w:t>
      </w:r>
      <w:r w:rsidR="003576E1">
        <w:rPr>
          <w:rFonts w:cs="Times New Roman"/>
          <w:szCs w:val="24"/>
        </w:rPr>
        <w:t>p</w:t>
      </w:r>
      <w:r w:rsidRPr="008A5776">
        <w:rPr>
          <w:rFonts w:cs="Times New Roman"/>
          <w:szCs w:val="24"/>
        </w:rPr>
        <w:t xml:space="preserve">lans and </w:t>
      </w:r>
      <w:r w:rsidR="003576E1">
        <w:rPr>
          <w:rFonts w:cs="Times New Roman"/>
          <w:szCs w:val="24"/>
        </w:rPr>
        <w:t>i</w:t>
      </w:r>
      <w:r w:rsidRPr="008A5776">
        <w:rPr>
          <w:rFonts w:cs="Times New Roman"/>
          <w:szCs w:val="24"/>
        </w:rPr>
        <w:t xml:space="preserve">nterstate </w:t>
      </w:r>
      <w:r w:rsidR="003576E1">
        <w:rPr>
          <w:rFonts w:cs="Times New Roman"/>
          <w:szCs w:val="24"/>
        </w:rPr>
        <w:t>b</w:t>
      </w:r>
      <w:r w:rsidRPr="008A5776">
        <w:rPr>
          <w:rFonts w:cs="Times New Roman"/>
          <w:szCs w:val="24"/>
        </w:rPr>
        <w:t>r</w:t>
      </w:r>
      <w:r w:rsidR="00476A2A" w:rsidRPr="008A5776">
        <w:rPr>
          <w:rFonts w:cs="Times New Roman"/>
          <w:szCs w:val="24"/>
        </w:rPr>
        <w:t>ai</w:t>
      </w:r>
      <w:r w:rsidRPr="008A5776">
        <w:rPr>
          <w:rFonts w:cs="Times New Roman"/>
          <w:szCs w:val="24"/>
        </w:rPr>
        <w:t xml:space="preserve">n </w:t>
      </w:r>
      <w:r w:rsidR="003576E1">
        <w:rPr>
          <w:rFonts w:cs="Times New Roman"/>
          <w:szCs w:val="24"/>
        </w:rPr>
        <w:t>d</w:t>
      </w:r>
      <w:r w:rsidRPr="008A5776">
        <w:rPr>
          <w:rFonts w:cs="Times New Roman"/>
          <w:szCs w:val="24"/>
        </w:rPr>
        <w:t xml:space="preserve">rain. </w:t>
      </w:r>
      <w:proofErr w:type="gramStart"/>
      <w:r w:rsidRPr="008A5776">
        <w:rPr>
          <w:rFonts w:cs="Times New Roman"/>
          <w:szCs w:val="24"/>
        </w:rPr>
        <w:t>Regional Science and Urban Economics</w:t>
      </w:r>
      <w:r w:rsidR="006D73B9" w:rsidRPr="008A5776">
        <w:rPr>
          <w:rFonts w:cs="Times New Roman"/>
          <w:szCs w:val="24"/>
        </w:rPr>
        <w:t xml:space="preserve"> Forthcoming, http://dx.doi.org/10.1016/j.regsciurbeco.2012.07.003.</w:t>
      </w:r>
      <w:proofErr w:type="gramEnd"/>
    </w:p>
    <w:p w:rsidR="00A46D56" w:rsidRPr="008A5776" w:rsidRDefault="00A46D56" w:rsidP="00380B4A">
      <w:pPr>
        <w:autoSpaceDE w:val="0"/>
        <w:autoSpaceDN w:val="0"/>
        <w:adjustRightInd w:val="0"/>
        <w:spacing w:after="0"/>
        <w:ind w:left="720" w:hanging="720"/>
        <w:rPr>
          <w:rFonts w:cs="Times New Roman"/>
          <w:szCs w:val="24"/>
        </w:rPr>
      </w:pPr>
    </w:p>
    <w:p w:rsidR="00A46D56" w:rsidRPr="008A5776" w:rsidRDefault="00110EB4" w:rsidP="00380B4A">
      <w:pPr>
        <w:autoSpaceDE w:val="0"/>
        <w:autoSpaceDN w:val="0"/>
        <w:adjustRightInd w:val="0"/>
        <w:spacing w:after="0"/>
        <w:ind w:left="720" w:hanging="720"/>
        <w:rPr>
          <w:rFonts w:cs="Times New Roman"/>
          <w:szCs w:val="24"/>
        </w:rPr>
      </w:pPr>
      <w:r w:rsidRPr="008A5776">
        <w:rPr>
          <w:rFonts w:cs="Times New Roman"/>
          <w:szCs w:val="24"/>
        </w:rPr>
        <w:t>Henry, G</w:t>
      </w:r>
      <w:r w:rsidR="003576E1">
        <w:rPr>
          <w:rFonts w:cs="Times New Roman"/>
          <w:szCs w:val="24"/>
        </w:rPr>
        <w:t>.T</w:t>
      </w:r>
      <w:r w:rsidRPr="008A5776">
        <w:rPr>
          <w:rFonts w:cs="Times New Roman"/>
          <w:szCs w:val="24"/>
        </w:rPr>
        <w:t>., Rubenstein</w:t>
      </w:r>
      <w:r w:rsidR="003576E1">
        <w:rPr>
          <w:rFonts w:cs="Times New Roman"/>
          <w:szCs w:val="24"/>
        </w:rPr>
        <w:t>, R.,</w:t>
      </w:r>
      <w:r w:rsidRPr="008A5776">
        <w:rPr>
          <w:rFonts w:cs="Times New Roman"/>
          <w:szCs w:val="24"/>
        </w:rPr>
        <w:t xml:space="preserve"> 2002. </w:t>
      </w:r>
      <w:proofErr w:type="gramStart"/>
      <w:r w:rsidRPr="008A5776">
        <w:rPr>
          <w:szCs w:val="24"/>
        </w:rPr>
        <w:t xml:space="preserve">Paying for </w:t>
      </w:r>
      <w:r w:rsidR="00B03A64">
        <w:rPr>
          <w:szCs w:val="24"/>
        </w:rPr>
        <w:t>g</w:t>
      </w:r>
      <w:r w:rsidR="003576E1">
        <w:rPr>
          <w:szCs w:val="24"/>
        </w:rPr>
        <w:t>rades: i</w:t>
      </w:r>
      <w:r w:rsidRPr="008A5776">
        <w:rPr>
          <w:szCs w:val="24"/>
        </w:rPr>
        <w:t xml:space="preserve">mpact of </w:t>
      </w:r>
      <w:r w:rsidR="00B03A64">
        <w:rPr>
          <w:szCs w:val="24"/>
        </w:rPr>
        <w:t>m</w:t>
      </w:r>
      <w:r w:rsidRPr="008A5776">
        <w:rPr>
          <w:szCs w:val="24"/>
        </w:rPr>
        <w:t>erit-</w:t>
      </w:r>
      <w:r w:rsidR="00B03A64">
        <w:rPr>
          <w:szCs w:val="24"/>
        </w:rPr>
        <w:t>b</w:t>
      </w:r>
      <w:r w:rsidRPr="008A5776">
        <w:rPr>
          <w:szCs w:val="24"/>
        </w:rPr>
        <w:t xml:space="preserve">ased </w:t>
      </w:r>
      <w:r w:rsidR="00B03A64">
        <w:rPr>
          <w:szCs w:val="24"/>
        </w:rPr>
        <w:t>f</w:t>
      </w:r>
      <w:r w:rsidRPr="008A5776">
        <w:rPr>
          <w:szCs w:val="24"/>
        </w:rPr>
        <w:t xml:space="preserve">inancial </w:t>
      </w:r>
      <w:r w:rsidR="00B03A64">
        <w:rPr>
          <w:szCs w:val="24"/>
        </w:rPr>
        <w:t>a</w:t>
      </w:r>
      <w:r w:rsidRPr="008A5776">
        <w:rPr>
          <w:szCs w:val="24"/>
        </w:rPr>
        <w:t xml:space="preserve">id on </w:t>
      </w:r>
      <w:r w:rsidR="00B03A64">
        <w:rPr>
          <w:szCs w:val="24"/>
        </w:rPr>
        <w:t>e</w:t>
      </w:r>
      <w:r w:rsidRPr="008A5776">
        <w:rPr>
          <w:szCs w:val="24"/>
        </w:rPr>
        <w:t xml:space="preserve">ducational </w:t>
      </w:r>
      <w:r w:rsidR="00B03A64">
        <w:rPr>
          <w:szCs w:val="24"/>
        </w:rPr>
        <w:t>q</w:t>
      </w:r>
      <w:r w:rsidRPr="008A5776">
        <w:rPr>
          <w:szCs w:val="24"/>
        </w:rPr>
        <w:t>uality.</w:t>
      </w:r>
      <w:proofErr w:type="gramEnd"/>
      <w:r w:rsidRPr="008A5776">
        <w:rPr>
          <w:szCs w:val="24"/>
        </w:rPr>
        <w:t xml:space="preserve"> </w:t>
      </w:r>
      <w:r w:rsidR="00AD4D1F" w:rsidRPr="008A5776">
        <w:rPr>
          <w:szCs w:val="24"/>
        </w:rPr>
        <w:t>Journal of Policy Analysis and Management</w:t>
      </w:r>
      <w:r w:rsidRPr="008A5776">
        <w:rPr>
          <w:szCs w:val="24"/>
        </w:rPr>
        <w:t xml:space="preserve"> 21(1): 93-109.</w:t>
      </w:r>
    </w:p>
    <w:p w:rsidR="00A46D56" w:rsidRPr="008A5776" w:rsidRDefault="00A46D56" w:rsidP="00380B4A">
      <w:pPr>
        <w:spacing w:after="0"/>
      </w:pPr>
    </w:p>
    <w:p w:rsidR="00A46D56" w:rsidRPr="008A5776" w:rsidRDefault="00F93DEA" w:rsidP="00380B4A">
      <w:pPr>
        <w:autoSpaceDE w:val="0"/>
        <w:autoSpaceDN w:val="0"/>
        <w:adjustRightInd w:val="0"/>
        <w:spacing w:after="0"/>
        <w:ind w:left="720" w:hanging="720"/>
        <w:rPr>
          <w:rFonts w:cs="Times New Roman"/>
          <w:szCs w:val="24"/>
        </w:rPr>
      </w:pPr>
      <w:r w:rsidRPr="008A5776">
        <w:rPr>
          <w:rFonts w:cs="Times New Roman"/>
          <w:szCs w:val="24"/>
        </w:rPr>
        <w:t>Henry, G</w:t>
      </w:r>
      <w:r w:rsidR="003576E1">
        <w:rPr>
          <w:rFonts w:cs="Times New Roman"/>
          <w:szCs w:val="24"/>
        </w:rPr>
        <w:t>.</w:t>
      </w:r>
      <w:r w:rsidRPr="008A5776">
        <w:rPr>
          <w:rFonts w:cs="Times New Roman"/>
          <w:szCs w:val="24"/>
        </w:rPr>
        <w:t>T., Rubenstein,</w:t>
      </w:r>
      <w:r w:rsidR="003576E1">
        <w:rPr>
          <w:rFonts w:cs="Times New Roman"/>
          <w:szCs w:val="24"/>
        </w:rPr>
        <w:t xml:space="preserve"> R., </w:t>
      </w:r>
      <w:r w:rsidRPr="008A5776">
        <w:rPr>
          <w:rFonts w:cs="Times New Roman"/>
          <w:szCs w:val="24"/>
        </w:rPr>
        <w:t>Bugler</w:t>
      </w:r>
      <w:r w:rsidR="003576E1">
        <w:rPr>
          <w:rFonts w:cs="Times New Roman"/>
          <w:szCs w:val="24"/>
        </w:rPr>
        <w:t>, D.T.,</w:t>
      </w:r>
      <w:r w:rsidRPr="008A5776">
        <w:rPr>
          <w:rFonts w:cs="Times New Roman"/>
          <w:szCs w:val="24"/>
        </w:rPr>
        <w:t xml:space="preserve"> 2004. </w:t>
      </w:r>
      <w:r w:rsidR="00B03A64">
        <w:rPr>
          <w:rFonts w:cs="Times New Roman"/>
          <w:szCs w:val="24"/>
        </w:rPr>
        <w:t xml:space="preserve">Is HOPE enough? </w:t>
      </w:r>
      <w:proofErr w:type="gramStart"/>
      <w:r w:rsidR="003576E1">
        <w:rPr>
          <w:rFonts w:cs="Times New Roman"/>
          <w:szCs w:val="24"/>
        </w:rPr>
        <w:t>i</w:t>
      </w:r>
      <w:r w:rsidR="00B03A64">
        <w:rPr>
          <w:rFonts w:cs="Times New Roman"/>
          <w:szCs w:val="24"/>
        </w:rPr>
        <w:t>mpacts</w:t>
      </w:r>
      <w:proofErr w:type="gramEnd"/>
      <w:r w:rsidR="00B03A64">
        <w:rPr>
          <w:rFonts w:cs="Times New Roman"/>
          <w:szCs w:val="24"/>
        </w:rPr>
        <w:t xml:space="preserve"> of r</w:t>
      </w:r>
      <w:r w:rsidRPr="008A5776">
        <w:rPr>
          <w:rFonts w:cs="Times New Roman"/>
          <w:szCs w:val="24"/>
        </w:rPr>
        <w:t xml:space="preserve">eceiving and </w:t>
      </w:r>
      <w:r w:rsidR="00B03A64">
        <w:rPr>
          <w:rFonts w:cs="Times New Roman"/>
          <w:szCs w:val="24"/>
        </w:rPr>
        <w:t>losing m</w:t>
      </w:r>
      <w:r w:rsidRPr="008A5776">
        <w:rPr>
          <w:rFonts w:cs="Times New Roman"/>
          <w:szCs w:val="24"/>
        </w:rPr>
        <w:t>erit-</w:t>
      </w:r>
      <w:r w:rsidR="00B03A64">
        <w:rPr>
          <w:rFonts w:cs="Times New Roman"/>
          <w:szCs w:val="24"/>
        </w:rPr>
        <w:t>b</w:t>
      </w:r>
      <w:r w:rsidRPr="008A5776">
        <w:rPr>
          <w:rFonts w:cs="Times New Roman"/>
          <w:szCs w:val="24"/>
        </w:rPr>
        <w:t xml:space="preserve">ased </w:t>
      </w:r>
      <w:r w:rsidR="00B03A64">
        <w:rPr>
          <w:rFonts w:cs="Times New Roman"/>
          <w:szCs w:val="24"/>
        </w:rPr>
        <w:t>financial a</w:t>
      </w:r>
      <w:r w:rsidRPr="008A5776">
        <w:rPr>
          <w:rFonts w:cs="Times New Roman"/>
          <w:szCs w:val="24"/>
        </w:rPr>
        <w:t>id. Educational Policy 18(5):686-709.</w:t>
      </w:r>
    </w:p>
    <w:p w:rsidR="00A46D56" w:rsidRPr="008A5776" w:rsidRDefault="00A46D56" w:rsidP="00380B4A">
      <w:pPr>
        <w:autoSpaceDE w:val="0"/>
        <w:autoSpaceDN w:val="0"/>
        <w:adjustRightInd w:val="0"/>
        <w:spacing w:after="0"/>
        <w:ind w:left="720" w:hanging="720"/>
        <w:rPr>
          <w:rFonts w:cs="Times New Roman"/>
          <w:szCs w:val="24"/>
        </w:rPr>
      </w:pPr>
    </w:p>
    <w:p w:rsidR="004663EC" w:rsidRPr="008A5776" w:rsidRDefault="004663EC" w:rsidP="006A24EF">
      <w:pPr>
        <w:autoSpaceDE w:val="0"/>
        <w:autoSpaceDN w:val="0"/>
        <w:adjustRightInd w:val="0"/>
        <w:spacing w:after="0"/>
        <w:ind w:left="720" w:hanging="720"/>
      </w:pPr>
      <w:r w:rsidRPr="008A5776">
        <w:t>Hickman, D</w:t>
      </w:r>
      <w:r w:rsidR="003576E1">
        <w:t>.</w:t>
      </w:r>
      <w:r w:rsidRPr="008A5776">
        <w:t>C.</w:t>
      </w:r>
      <w:r w:rsidR="003576E1">
        <w:t>,</w:t>
      </w:r>
      <w:r w:rsidRPr="008A5776">
        <w:t xml:space="preserve"> 2009</w:t>
      </w:r>
      <w:r w:rsidR="005046C9" w:rsidRPr="008A5776">
        <w:t xml:space="preserve">. </w:t>
      </w:r>
      <w:r w:rsidRPr="008A5776">
        <w:t xml:space="preserve">The </w:t>
      </w:r>
      <w:r w:rsidR="00B03A64">
        <w:t>e</w:t>
      </w:r>
      <w:r w:rsidRPr="008A5776">
        <w:t xml:space="preserve">ffects of </w:t>
      </w:r>
      <w:r w:rsidR="00B03A64">
        <w:t>h</w:t>
      </w:r>
      <w:r w:rsidRPr="008A5776">
        <w:t xml:space="preserve">igher </w:t>
      </w:r>
      <w:r w:rsidR="00B03A64">
        <w:t>e</w:t>
      </w:r>
      <w:r w:rsidRPr="008A5776">
        <w:t xml:space="preserve">ducation </w:t>
      </w:r>
      <w:r w:rsidR="00B03A64">
        <w:t>p</w:t>
      </w:r>
      <w:r w:rsidRPr="008A5776">
        <w:t xml:space="preserve">olicy on the </w:t>
      </w:r>
      <w:r w:rsidR="00B03A64">
        <w:t>l</w:t>
      </w:r>
      <w:r w:rsidRPr="008A5776">
        <w:t xml:space="preserve">ocation </w:t>
      </w:r>
      <w:r w:rsidR="00B03A64">
        <w:t>d</w:t>
      </w:r>
      <w:r w:rsidRPr="008A5776">
        <w:t xml:space="preserve">ecision of </w:t>
      </w:r>
      <w:r w:rsidR="00B03A64">
        <w:t>i</w:t>
      </w:r>
      <w:r w:rsidR="002C21D7">
        <w:t>ndividuals: e</w:t>
      </w:r>
      <w:r w:rsidRPr="008A5776">
        <w:t xml:space="preserve">vidence from Florida’s Bright Futures Scholarship </w:t>
      </w:r>
      <w:r w:rsidR="00B03A64">
        <w:t>p</w:t>
      </w:r>
      <w:r w:rsidRPr="008A5776">
        <w:t xml:space="preserve">rogram. </w:t>
      </w:r>
      <w:r w:rsidR="00AD4D1F" w:rsidRPr="008A5776">
        <w:t>Regional Science and Urban Economics</w:t>
      </w:r>
      <w:r w:rsidRPr="008A5776">
        <w:t xml:space="preserve"> 39 (5):553-562.</w:t>
      </w:r>
    </w:p>
    <w:p w:rsidR="00AD20CB" w:rsidRPr="008A5776" w:rsidRDefault="00AD20CB" w:rsidP="006A24EF">
      <w:pPr>
        <w:autoSpaceDE w:val="0"/>
        <w:autoSpaceDN w:val="0"/>
        <w:adjustRightInd w:val="0"/>
        <w:spacing w:after="0"/>
        <w:ind w:left="720" w:hanging="720"/>
      </w:pPr>
    </w:p>
    <w:p w:rsidR="00AD20CB" w:rsidRPr="008A5776" w:rsidRDefault="00AD20CB" w:rsidP="006A24EF">
      <w:pPr>
        <w:autoSpaceDE w:val="0"/>
        <w:autoSpaceDN w:val="0"/>
        <w:adjustRightInd w:val="0"/>
        <w:spacing w:after="0"/>
        <w:ind w:left="720" w:hanging="720"/>
      </w:pPr>
      <w:r w:rsidRPr="008A5776">
        <w:t>Malamud, O</w:t>
      </w:r>
      <w:r w:rsidR="003576E1">
        <w:t>.</w:t>
      </w:r>
      <w:r w:rsidRPr="008A5776">
        <w:t>, Wozniak</w:t>
      </w:r>
      <w:r w:rsidR="003576E1">
        <w:t>, A.K.,</w:t>
      </w:r>
      <w:r w:rsidRPr="008A5776">
        <w:t xml:space="preserve"> </w:t>
      </w:r>
      <w:r w:rsidR="008100A8" w:rsidRPr="008A5776">
        <w:t>2012</w:t>
      </w:r>
      <w:r w:rsidRPr="008A5776">
        <w:t xml:space="preserve">. The </w:t>
      </w:r>
      <w:r w:rsidR="00360958" w:rsidRPr="008A5776">
        <w:t xml:space="preserve">impact </w:t>
      </w:r>
      <w:r w:rsidRPr="008A5776">
        <w:t xml:space="preserve">of </w:t>
      </w:r>
      <w:r w:rsidR="00360958" w:rsidRPr="008A5776">
        <w:t>college on migration</w:t>
      </w:r>
      <w:r w:rsidRPr="008A5776">
        <w:t xml:space="preserve">: </w:t>
      </w:r>
      <w:r w:rsidR="003576E1">
        <w:t>e</w:t>
      </w:r>
      <w:r w:rsidR="00360958" w:rsidRPr="008A5776">
        <w:t>vidence from the Vietnam generation</w:t>
      </w:r>
      <w:r w:rsidR="00B03A64">
        <w:t>.</w:t>
      </w:r>
      <w:r w:rsidR="00360958" w:rsidRPr="008A5776">
        <w:t xml:space="preserve"> Journal of Human Resources 47(4): 913-950</w:t>
      </w:r>
      <w:r w:rsidRPr="008A5776">
        <w:t>.</w:t>
      </w:r>
    </w:p>
    <w:p w:rsidR="00743F44" w:rsidRPr="008A5776" w:rsidRDefault="00743F44" w:rsidP="006A24EF">
      <w:pPr>
        <w:autoSpaceDE w:val="0"/>
        <w:autoSpaceDN w:val="0"/>
        <w:adjustRightInd w:val="0"/>
        <w:spacing w:after="0"/>
        <w:ind w:left="720" w:hanging="720"/>
      </w:pPr>
    </w:p>
    <w:p w:rsidR="00743F44" w:rsidRPr="008A5776" w:rsidRDefault="00743F44" w:rsidP="006A24EF">
      <w:pPr>
        <w:autoSpaceDE w:val="0"/>
        <w:autoSpaceDN w:val="0"/>
        <w:adjustRightInd w:val="0"/>
        <w:spacing w:after="0"/>
        <w:ind w:left="720" w:hanging="720"/>
      </w:pPr>
      <w:r w:rsidRPr="008A5776">
        <w:lastRenderedPageBreak/>
        <w:t>Molloy, R</w:t>
      </w:r>
      <w:r w:rsidR="003576E1">
        <w:t>.,</w:t>
      </w:r>
      <w:r w:rsidRPr="008A5776">
        <w:t xml:space="preserve"> Smith,</w:t>
      </w:r>
      <w:r w:rsidR="003576E1">
        <w:t xml:space="preserve"> C.L.,</w:t>
      </w:r>
      <w:r w:rsidRPr="008A5776">
        <w:t xml:space="preserve"> Wozniak</w:t>
      </w:r>
      <w:r w:rsidR="003576E1">
        <w:t>, A.,</w:t>
      </w:r>
      <w:r w:rsidRPr="008A5776">
        <w:t xml:space="preserve"> 2011. Internal </w:t>
      </w:r>
      <w:r w:rsidR="00B03A64">
        <w:t>m</w:t>
      </w:r>
      <w:r w:rsidRPr="008A5776">
        <w:t>igration in the United States</w:t>
      </w:r>
      <w:r w:rsidR="00B03A64">
        <w:t>.</w:t>
      </w:r>
      <w:r w:rsidRPr="008A5776">
        <w:t xml:space="preserve"> Journal of Economic Perspectives 25(3): 173-196.</w:t>
      </w:r>
    </w:p>
    <w:p w:rsidR="004663EC" w:rsidRPr="008A5776" w:rsidRDefault="004663EC" w:rsidP="006A24EF">
      <w:pPr>
        <w:autoSpaceDE w:val="0"/>
        <w:autoSpaceDN w:val="0"/>
        <w:adjustRightInd w:val="0"/>
        <w:spacing w:after="0"/>
        <w:ind w:left="720" w:hanging="720"/>
      </w:pPr>
    </w:p>
    <w:p w:rsidR="00DF3BCE" w:rsidRPr="008A5776" w:rsidRDefault="007716B0">
      <w:pPr>
        <w:autoSpaceDE w:val="0"/>
        <w:autoSpaceDN w:val="0"/>
        <w:adjustRightInd w:val="0"/>
        <w:spacing w:after="0"/>
        <w:ind w:left="720" w:hanging="720"/>
        <w:rPr>
          <w:rFonts w:eastAsia="Calibri" w:cs="Times New Roman"/>
          <w:szCs w:val="24"/>
        </w:rPr>
      </w:pPr>
      <w:proofErr w:type="spellStart"/>
      <w:r w:rsidRPr="008A5776">
        <w:rPr>
          <w:rFonts w:eastAsia="Calibri" w:cs="Times New Roman"/>
          <w:szCs w:val="24"/>
        </w:rPr>
        <w:t>Moretti</w:t>
      </w:r>
      <w:proofErr w:type="spellEnd"/>
      <w:r w:rsidRPr="008A5776">
        <w:rPr>
          <w:rFonts w:eastAsia="Calibri" w:cs="Times New Roman"/>
          <w:szCs w:val="24"/>
        </w:rPr>
        <w:t xml:space="preserve">, </w:t>
      </w:r>
      <w:r w:rsidRPr="008A5776">
        <w:rPr>
          <w:szCs w:val="24"/>
        </w:rPr>
        <w:t>E</w:t>
      </w:r>
      <w:r w:rsidR="003576E1">
        <w:rPr>
          <w:szCs w:val="24"/>
        </w:rPr>
        <w:t>.,</w:t>
      </w:r>
      <w:r w:rsidRPr="008A5776">
        <w:rPr>
          <w:szCs w:val="24"/>
        </w:rPr>
        <w:t xml:space="preserve"> 2004</w:t>
      </w:r>
      <w:r w:rsidRPr="008A5776">
        <w:rPr>
          <w:rFonts w:eastAsia="Calibri" w:cs="Times New Roman"/>
          <w:szCs w:val="24"/>
        </w:rPr>
        <w:t xml:space="preserve">. </w:t>
      </w:r>
      <w:proofErr w:type="gramStart"/>
      <w:r w:rsidRPr="008A5776">
        <w:rPr>
          <w:rFonts w:eastAsia="Calibri" w:cs="Times New Roman"/>
          <w:szCs w:val="24"/>
        </w:rPr>
        <w:t xml:space="preserve">Estimating the </w:t>
      </w:r>
      <w:r w:rsidR="00B03A64">
        <w:rPr>
          <w:rFonts w:eastAsia="Calibri" w:cs="Times New Roman"/>
          <w:szCs w:val="24"/>
        </w:rPr>
        <w:t>s</w:t>
      </w:r>
      <w:r w:rsidRPr="008A5776">
        <w:rPr>
          <w:rFonts w:eastAsia="Calibri" w:cs="Times New Roman"/>
          <w:szCs w:val="24"/>
        </w:rPr>
        <w:t xml:space="preserve">ocial </w:t>
      </w:r>
      <w:r w:rsidR="00B03A64">
        <w:rPr>
          <w:rFonts w:eastAsia="Calibri" w:cs="Times New Roman"/>
          <w:szCs w:val="24"/>
        </w:rPr>
        <w:t>r</w:t>
      </w:r>
      <w:r w:rsidRPr="008A5776">
        <w:rPr>
          <w:rFonts w:eastAsia="Calibri" w:cs="Times New Roman"/>
          <w:szCs w:val="24"/>
        </w:rPr>
        <w:t xml:space="preserve">eturn to </w:t>
      </w:r>
      <w:r w:rsidR="00B03A64">
        <w:rPr>
          <w:rFonts w:eastAsia="Calibri" w:cs="Times New Roman"/>
          <w:szCs w:val="24"/>
        </w:rPr>
        <w:t>h</w:t>
      </w:r>
      <w:r w:rsidRPr="008A5776">
        <w:rPr>
          <w:rFonts w:eastAsia="Calibri" w:cs="Times New Roman"/>
          <w:szCs w:val="24"/>
        </w:rPr>
        <w:t xml:space="preserve">igher </w:t>
      </w:r>
      <w:r w:rsidR="00B03A64">
        <w:rPr>
          <w:rFonts w:eastAsia="Calibri" w:cs="Times New Roman"/>
          <w:szCs w:val="24"/>
        </w:rPr>
        <w:t>e</w:t>
      </w:r>
      <w:r w:rsidR="003576E1">
        <w:rPr>
          <w:rFonts w:eastAsia="Calibri" w:cs="Times New Roman"/>
          <w:szCs w:val="24"/>
        </w:rPr>
        <w:t>ducation: e</w:t>
      </w:r>
      <w:r w:rsidRPr="008A5776">
        <w:rPr>
          <w:rFonts w:eastAsia="Calibri" w:cs="Times New Roman"/>
          <w:szCs w:val="24"/>
        </w:rPr>
        <w:t xml:space="preserve">vidence from </w:t>
      </w:r>
      <w:r w:rsidR="00B03A64">
        <w:rPr>
          <w:rFonts w:eastAsia="Calibri" w:cs="Times New Roman"/>
          <w:szCs w:val="24"/>
        </w:rPr>
        <w:t>l</w:t>
      </w:r>
      <w:r w:rsidRPr="008A5776">
        <w:rPr>
          <w:rFonts w:eastAsia="Calibri" w:cs="Times New Roman"/>
          <w:szCs w:val="24"/>
        </w:rPr>
        <w:t xml:space="preserve">ongitudinal and </w:t>
      </w:r>
      <w:r w:rsidR="00B03A64">
        <w:rPr>
          <w:rFonts w:eastAsia="Calibri" w:cs="Times New Roman"/>
          <w:szCs w:val="24"/>
        </w:rPr>
        <w:t>r</w:t>
      </w:r>
      <w:r w:rsidRPr="008A5776">
        <w:rPr>
          <w:rFonts w:eastAsia="Calibri" w:cs="Times New Roman"/>
          <w:szCs w:val="24"/>
        </w:rPr>
        <w:t xml:space="preserve">epeated </w:t>
      </w:r>
      <w:r w:rsidR="00B03A64">
        <w:rPr>
          <w:rFonts w:eastAsia="Calibri" w:cs="Times New Roman"/>
          <w:szCs w:val="24"/>
        </w:rPr>
        <w:t>c</w:t>
      </w:r>
      <w:r w:rsidRPr="008A5776">
        <w:rPr>
          <w:rFonts w:eastAsia="Calibri" w:cs="Times New Roman"/>
          <w:szCs w:val="24"/>
        </w:rPr>
        <w:t>ross-</w:t>
      </w:r>
      <w:r w:rsidR="00B03A64">
        <w:rPr>
          <w:rFonts w:eastAsia="Calibri" w:cs="Times New Roman"/>
          <w:szCs w:val="24"/>
        </w:rPr>
        <w:t>s</w:t>
      </w:r>
      <w:r w:rsidRPr="008A5776">
        <w:rPr>
          <w:rFonts w:eastAsia="Calibri" w:cs="Times New Roman"/>
          <w:szCs w:val="24"/>
        </w:rPr>
        <w:t xml:space="preserve">ectional </w:t>
      </w:r>
      <w:r w:rsidR="00B03A64">
        <w:rPr>
          <w:rFonts w:eastAsia="Calibri" w:cs="Times New Roman"/>
          <w:szCs w:val="24"/>
        </w:rPr>
        <w:t>d</w:t>
      </w:r>
      <w:r w:rsidRPr="008A5776">
        <w:rPr>
          <w:rFonts w:eastAsia="Calibri" w:cs="Times New Roman"/>
          <w:szCs w:val="24"/>
        </w:rPr>
        <w:t>ata</w:t>
      </w:r>
      <w:r w:rsidR="00B03A64">
        <w:rPr>
          <w:rFonts w:eastAsia="Calibri" w:cs="Times New Roman"/>
          <w:szCs w:val="24"/>
        </w:rPr>
        <w:t>.</w:t>
      </w:r>
      <w:proofErr w:type="gramEnd"/>
      <w:r w:rsidRPr="008A5776">
        <w:rPr>
          <w:rFonts w:eastAsia="Calibri" w:cs="Times New Roman"/>
          <w:szCs w:val="24"/>
        </w:rPr>
        <w:t xml:space="preserve"> </w:t>
      </w:r>
      <w:r w:rsidRPr="008A5776">
        <w:rPr>
          <w:rFonts w:eastAsia="Calibri" w:cs="Times New Roman"/>
          <w:iCs/>
          <w:szCs w:val="24"/>
        </w:rPr>
        <w:t xml:space="preserve">Journal of Econometrics </w:t>
      </w:r>
      <w:r w:rsidRPr="008A5776">
        <w:rPr>
          <w:rFonts w:eastAsia="Calibri" w:cs="Times New Roman"/>
          <w:szCs w:val="24"/>
        </w:rPr>
        <w:t>121, 175-212.</w:t>
      </w:r>
    </w:p>
    <w:p w:rsidR="007716B0" w:rsidRPr="008A5776" w:rsidRDefault="007716B0" w:rsidP="007716B0">
      <w:pPr>
        <w:autoSpaceDE w:val="0"/>
        <w:autoSpaceDN w:val="0"/>
        <w:adjustRightInd w:val="0"/>
        <w:spacing w:after="0"/>
        <w:ind w:left="720" w:hanging="720"/>
      </w:pPr>
    </w:p>
    <w:p w:rsidR="0034752B" w:rsidRPr="008A5776" w:rsidRDefault="0034752B" w:rsidP="007716B0">
      <w:pPr>
        <w:autoSpaceDE w:val="0"/>
        <w:autoSpaceDN w:val="0"/>
        <w:adjustRightInd w:val="0"/>
        <w:spacing w:after="0"/>
        <w:ind w:left="720" w:hanging="720"/>
      </w:pPr>
      <w:proofErr w:type="gramStart"/>
      <w:r w:rsidRPr="008A5776">
        <w:t>National Association of State Student Grant &amp; Aid Programs</w:t>
      </w:r>
      <w:r w:rsidR="00B03A64">
        <w:t>,</w:t>
      </w:r>
      <w:r w:rsidRPr="008A5776">
        <w:t xml:space="preserve"> 1991.</w:t>
      </w:r>
      <w:proofErr w:type="gramEnd"/>
      <w:r w:rsidRPr="008A5776">
        <w:t xml:space="preserve"> </w:t>
      </w:r>
      <w:proofErr w:type="gramStart"/>
      <w:r w:rsidRPr="008A5776">
        <w:t>22</w:t>
      </w:r>
      <w:r w:rsidRPr="001F7FC2">
        <w:rPr>
          <w:vertAlign w:val="superscript"/>
        </w:rPr>
        <w:t>nd</w:t>
      </w:r>
      <w:r w:rsidRPr="008A5776">
        <w:t xml:space="preserve"> Annual Survey Report.</w:t>
      </w:r>
      <w:proofErr w:type="gramEnd"/>
      <w:r w:rsidRPr="008A5776">
        <w:t xml:space="preserve"> </w:t>
      </w:r>
      <w:hyperlink r:id="rId12" w:history="1">
        <w:r w:rsidRPr="008A5776">
          <w:rPr>
            <w:rStyle w:val="Hyperlink"/>
          </w:rPr>
          <w:t>www.nassap.org</w:t>
        </w:r>
      </w:hyperlink>
      <w:r w:rsidRPr="008A5776">
        <w:t>, accessed February 15, 2013.</w:t>
      </w:r>
    </w:p>
    <w:p w:rsidR="0034752B" w:rsidRPr="008A5776" w:rsidRDefault="0034752B" w:rsidP="007716B0">
      <w:pPr>
        <w:autoSpaceDE w:val="0"/>
        <w:autoSpaceDN w:val="0"/>
        <w:adjustRightInd w:val="0"/>
        <w:spacing w:after="0"/>
        <w:ind w:left="720" w:hanging="720"/>
      </w:pPr>
    </w:p>
    <w:p w:rsidR="00ED1AEC" w:rsidRPr="008A5776" w:rsidRDefault="00ED1AEC" w:rsidP="006A24EF">
      <w:pPr>
        <w:autoSpaceDE w:val="0"/>
        <w:autoSpaceDN w:val="0"/>
        <w:adjustRightInd w:val="0"/>
        <w:spacing w:after="0"/>
        <w:ind w:left="720" w:hanging="720"/>
      </w:pPr>
      <w:proofErr w:type="gramStart"/>
      <w:r w:rsidRPr="008A5776">
        <w:t>National Center for Education Statistics</w:t>
      </w:r>
      <w:r w:rsidR="00B03A64">
        <w:t>,</w:t>
      </w:r>
      <w:r w:rsidRPr="008A5776">
        <w:t xml:space="preserve"> </w:t>
      </w:r>
      <w:r w:rsidR="00B03A64">
        <w:t>v</w:t>
      </w:r>
      <w:r w:rsidRPr="008A5776">
        <w:t xml:space="preserve">arious </w:t>
      </w:r>
      <w:r w:rsidR="00B03A64">
        <w:t>y</w:t>
      </w:r>
      <w:r w:rsidRPr="008A5776">
        <w:t>ears.</w:t>
      </w:r>
      <w:proofErr w:type="gramEnd"/>
      <w:r w:rsidRPr="008A5776">
        <w:t xml:space="preserve"> </w:t>
      </w:r>
      <w:r w:rsidR="00E74D70" w:rsidRPr="008A5776">
        <w:t>Digest of Education Statistics. Washington, DC</w:t>
      </w:r>
      <w:r w:rsidR="001F29F2" w:rsidRPr="008A5776">
        <w:t>:</w:t>
      </w:r>
      <w:r w:rsidR="00E74D70" w:rsidRPr="008A5776">
        <w:t xml:space="preserve"> </w:t>
      </w:r>
      <w:r w:rsidR="001F29F2" w:rsidRPr="008A5776">
        <w:t>U.S. Department of Education.</w:t>
      </w:r>
    </w:p>
    <w:p w:rsidR="001F29F2" w:rsidRPr="008A5776" w:rsidRDefault="001F29F2" w:rsidP="006A24EF">
      <w:pPr>
        <w:autoSpaceDE w:val="0"/>
        <w:autoSpaceDN w:val="0"/>
        <w:adjustRightInd w:val="0"/>
        <w:spacing w:after="0"/>
        <w:ind w:left="720" w:hanging="720"/>
      </w:pPr>
    </w:p>
    <w:p w:rsidR="004C12CE" w:rsidRPr="008A5776" w:rsidRDefault="004C12CE" w:rsidP="004C12CE">
      <w:pPr>
        <w:autoSpaceDE w:val="0"/>
        <w:autoSpaceDN w:val="0"/>
        <w:adjustRightInd w:val="0"/>
        <w:spacing w:after="0"/>
        <w:ind w:left="720" w:hanging="720"/>
        <w:contextualSpacing w:val="0"/>
        <w:rPr>
          <w:rFonts w:cs="Times New Roman"/>
          <w:szCs w:val="24"/>
        </w:rPr>
      </w:pPr>
      <w:proofErr w:type="spellStart"/>
      <w:r w:rsidRPr="008A5776">
        <w:rPr>
          <w:rFonts w:cs="Times New Roman"/>
          <w:szCs w:val="24"/>
        </w:rPr>
        <w:t>Pallais</w:t>
      </w:r>
      <w:proofErr w:type="spellEnd"/>
      <w:r w:rsidRPr="008A5776">
        <w:rPr>
          <w:rFonts w:cs="Times New Roman"/>
          <w:szCs w:val="24"/>
        </w:rPr>
        <w:t>, A.</w:t>
      </w:r>
      <w:r w:rsidR="003576E1">
        <w:rPr>
          <w:rFonts w:cs="Times New Roman"/>
          <w:szCs w:val="24"/>
        </w:rPr>
        <w:t>,</w:t>
      </w:r>
      <w:r w:rsidRPr="008A5776">
        <w:rPr>
          <w:rFonts w:cs="Times New Roman"/>
          <w:szCs w:val="24"/>
        </w:rPr>
        <w:t xml:space="preserve"> 2009. Taking a </w:t>
      </w:r>
      <w:r w:rsidR="00B03A64">
        <w:rPr>
          <w:rFonts w:cs="Times New Roman"/>
          <w:szCs w:val="24"/>
        </w:rPr>
        <w:t>c</w:t>
      </w:r>
      <w:r w:rsidRPr="008A5776">
        <w:rPr>
          <w:rFonts w:cs="Times New Roman"/>
          <w:szCs w:val="24"/>
        </w:rPr>
        <w:t xml:space="preserve">hance on </w:t>
      </w:r>
      <w:r w:rsidR="00B03A64">
        <w:rPr>
          <w:rFonts w:cs="Times New Roman"/>
          <w:szCs w:val="24"/>
        </w:rPr>
        <w:t xml:space="preserve">college: </w:t>
      </w:r>
      <w:r w:rsidR="003576E1">
        <w:rPr>
          <w:rFonts w:cs="Times New Roman"/>
          <w:szCs w:val="24"/>
        </w:rPr>
        <w:t>i</w:t>
      </w:r>
      <w:r w:rsidR="00B03A64">
        <w:rPr>
          <w:rFonts w:cs="Times New Roman"/>
          <w:szCs w:val="24"/>
        </w:rPr>
        <w:t>s the Tennessee e</w:t>
      </w:r>
      <w:r w:rsidRPr="008A5776">
        <w:rPr>
          <w:rFonts w:cs="Times New Roman"/>
          <w:szCs w:val="24"/>
        </w:rPr>
        <w:t xml:space="preserve">ducation </w:t>
      </w:r>
      <w:r w:rsidR="00B03A64">
        <w:rPr>
          <w:rFonts w:cs="Times New Roman"/>
          <w:szCs w:val="24"/>
        </w:rPr>
        <w:t>lottery s</w:t>
      </w:r>
      <w:r w:rsidRPr="008A5776">
        <w:rPr>
          <w:rFonts w:cs="Times New Roman"/>
          <w:szCs w:val="24"/>
        </w:rPr>
        <w:t xml:space="preserve">cholarship </w:t>
      </w:r>
      <w:r w:rsidR="00B03A64">
        <w:rPr>
          <w:rFonts w:cs="Times New Roman"/>
          <w:szCs w:val="24"/>
        </w:rPr>
        <w:t>program a w</w:t>
      </w:r>
      <w:r w:rsidRPr="008A5776">
        <w:rPr>
          <w:rFonts w:cs="Times New Roman"/>
          <w:szCs w:val="24"/>
        </w:rPr>
        <w:t>inner? Journal of Human Resources 44(1): 199-222.</w:t>
      </w:r>
    </w:p>
    <w:p w:rsidR="004C12CE" w:rsidRPr="008A5776" w:rsidRDefault="004C12CE" w:rsidP="004C12CE">
      <w:pPr>
        <w:autoSpaceDE w:val="0"/>
        <w:autoSpaceDN w:val="0"/>
        <w:adjustRightInd w:val="0"/>
        <w:spacing w:after="0"/>
        <w:ind w:left="720" w:hanging="720"/>
        <w:contextualSpacing w:val="0"/>
        <w:rPr>
          <w:rFonts w:cs="Times New Roman"/>
          <w:szCs w:val="24"/>
        </w:rPr>
      </w:pPr>
    </w:p>
    <w:p w:rsidR="004663EC" w:rsidRPr="008A5776" w:rsidRDefault="004663EC" w:rsidP="006A24EF">
      <w:pPr>
        <w:autoSpaceDE w:val="0"/>
        <w:autoSpaceDN w:val="0"/>
        <w:adjustRightInd w:val="0"/>
        <w:spacing w:after="0"/>
        <w:ind w:left="720" w:hanging="720"/>
      </w:pPr>
      <w:r w:rsidRPr="008A5776">
        <w:t>Perry, K</w:t>
      </w:r>
      <w:r w:rsidR="003576E1">
        <w:t>.K.,</w:t>
      </w:r>
      <w:r w:rsidR="00E94682" w:rsidRPr="008A5776">
        <w:t xml:space="preserve"> </w:t>
      </w:r>
      <w:r w:rsidRPr="008A5776">
        <w:t xml:space="preserve">2001. Where </w:t>
      </w:r>
      <w:r w:rsidR="00B03A64">
        <w:t>c</w:t>
      </w:r>
      <w:r w:rsidRPr="008A5776">
        <w:t xml:space="preserve">ollege </w:t>
      </w:r>
      <w:r w:rsidR="00B03A64">
        <w:t>s</w:t>
      </w:r>
      <w:r w:rsidRPr="008A5776">
        <w:t xml:space="preserve">tudents </w:t>
      </w:r>
      <w:r w:rsidR="00B03A64">
        <w:t>l</w:t>
      </w:r>
      <w:r w:rsidRPr="008A5776">
        <w:t xml:space="preserve">ive </w:t>
      </w:r>
      <w:r w:rsidR="00B03A64">
        <w:t>a</w:t>
      </w:r>
      <w:r w:rsidRPr="008A5776">
        <w:t xml:space="preserve">fter </w:t>
      </w:r>
      <w:r w:rsidR="00B03A64">
        <w:t>they g</w:t>
      </w:r>
      <w:r w:rsidRPr="008A5776">
        <w:t>raduate</w:t>
      </w:r>
      <w:r w:rsidR="00B03A64">
        <w:t>.</w:t>
      </w:r>
      <w:r w:rsidRPr="008A5776">
        <w:t xml:space="preserve"> Washington, DC: National Center for </w:t>
      </w:r>
      <w:r w:rsidR="00ED712B" w:rsidRPr="008A5776">
        <w:t xml:space="preserve">Education </w:t>
      </w:r>
      <w:r w:rsidRPr="008A5776">
        <w:t>Statistics (ERIC Document Reproduction Service No. ED453739).</w:t>
      </w:r>
    </w:p>
    <w:p w:rsidR="00795D02" w:rsidRPr="008A5776" w:rsidRDefault="00795D02" w:rsidP="00795D02">
      <w:pPr>
        <w:rPr>
          <w:rStyle w:val="title-link-wrapper"/>
        </w:rPr>
      </w:pPr>
      <w:bookmarkStart w:id="1" w:name="Result_3"/>
    </w:p>
    <w:bookmarkEnd w:id="1"/>
    <w:p w:rsidR="00DD539C" w:rsidRPr="008A5776" w:rsidRDefault="00DD539C" w:rsidP="00DD539C">
      <w:pPr>
        <w:ind w:left="720" w:hanging="720"/>
      </w:pPr>
      <w:r w:rsidRPr="008A5776">
        <w:rPr>
          <w:rStyle w:val="medium-font"/>
        </w:rPr>
        <w:t>Rothstein, J</w:t>
      </w:r>
      <w:r w:rsidR="002C21D7">
        <w:rPr>
          <w:rStyle w:val="medium-font"/>
        </w:rPr>
        <w:t>.</w:t>
      </w:r>
      <w:r w:rsidRPr="008A5776">
        <w:rPr>
          <w:rStyle w:val="medium-font"/>
        </w:rPr>
        <w:t>, Rouse</w:t>
      </w:r>
      <w:r w:rsidR="00B03A64">
        <w:rPr>
          <w:rStyle w:val="medium-font"/>
        </w:rPr>
        <w:t>,</w:t>
      </w:r>
      <w:r w:rsidR="002C21D7">
        <w:rPr>
          <w:rStyle w:val="medium-font"/>
        </w:rPr>
        <w:t xml:space="preserve"> C.E.,</w:t>
      </w:r>
      <w:r w:rsidRPr="008A5776">
        <w:rPr>
          <w:rStyle w:val="medium-font"/>
        </w:rPr>
        <w:t xml:space="preserve"> 2011. </w:t>
      </w:r>
      <w:proofErr w:type="gramStart"/>
      <w:r w:rsidR="00B03A64">
        <w:rPr>
          <w:rStyle w:val="title-link-wrapper"/>
        </w:rPr>
        <w:t>Constrained after c</w:t>
      </w:r>
      <w:r w:rsidRPr="008A5776">
        <w:rPr>
          <w:rStyle w:val="title-link-wrapper"/>
        </w:rPr>
        <w:t xml:space="preserve">ollege: Student </w:t>
      </w:r>
      <w:r w:rsidR="00B03A64">
        <w:rPr>
          <w:rStyle w:val="title-link-wrapper"/>
        </w:rPr>
        <w:t>l</w:t>
      </w:r>
      <w:r w:rsidRPr="008A5776">
        <w:rPr>
          <w:rStyle w:val="title-link-wrapper"/>
        </w:rPr>
        <w:t xml:space="preserve">oans and </w:t>
      </w:r>
      <w:r w:rsidR="00B03A64">
        <w:rPr>
          <w:rStyle w:val="title-link-wrapper"/>
        </w:rPr>
        <w:t>e</w:t>
      </w:r>
      <w:r w:rsidRPr="008A5776">
        <w:rPr>
          <w:rStyle w:val="title-link-wrapper"/>
        </w:rPr>
        <w:t>arly-</w:t>
      </w:r>
      <w:r w:rsidR="00B03A64">
        <w:rPr>
          <w:rStyle w:val="title-link-wrapper"/>
        </w:rPr>
        <w:t>c</w:t>
      </w:r>
      <w:r w:rsidRPr="008A5776">
        <w:rPr>
          <w:rStyle w:val="title-link-wrapper"/>
        </w:rPr>
        <w:t xml:space="preserve">areer </w:t>
      </w:r>
      <w:r w:rsidR="00B03A64">
        <w:rPr>
          <w:rStyle w:val="title-link-wrapper"/>
        </w:rPr>
        <w:t>o</w:t>
      </w:r>
      <w:r w:rsidRPr="008A5776">
        <w:rPr>
          <w:rStyle w:val="title-link-wrapper"/>
        </w:rPr>
        <w:t xml:space="preserve">ccupational </w:t>
      </w:r>
      <w:r w:rsidR="00B03A64">
        <w:rPr>
          <w:rStyle w:val="title-link-wrapper"/>
        </w:rPr>
        <w:t>c</w:t>
      </w:r>
      <w:r w:rsidRPr="008A5776">
        <w:rPr>
          <w:rStyle w:val="title-link-wrapper"/>
        </w:rPr>
        <w:t>hoices.</w:t>
      </w:r>
      <w:proofErr w:type="gramEnd"/>
      <w:r w:rsidRPr="008A5776">
        <w:rPr>
          <w:rStyle w:val="title-link-wrapper"/>
        </w:rPr>
        <w:t xml:space="preserve"> </w:t>
      </w:r>
      <w:r w:rsidRPr="008A5776">
        <w:rPr>
          <w:rStyle w:val="Strong"/>
          <w:b w:val="0"/>
        </w:rPr>
        <w:t>Journal</w:t>
      </w:r>
      <w:r w:rsidRPr="008A5776">
        <w:rPr>
          <w:rStyle w:val="medium-font"/>
          <w:b/>
        </w:rPr>
        <w:t xml:space="preserve"> </w:t>
      </w:r>
      <w:r w:rsidRPr="008A5776">
        <w:rPr>
          <w:rStyle w:val="medium-font"/>
        </w:rPr>
        <w:t>of</w:t>
      </w:r>
      <w:r w:rsidRPr="008A5776">
        <w:rPr>
          <w:rStyle w:val="medium-font"/>
          <w:b/>
        </w:rPr>
        <w:t xml:space="preserve"> </w:t>
      </w:r>
      <w:r w:rsidRPr="008A5776">
        <w:rPr>
          <w:rStyle w:val="Strong"/>
          <w:b w:val="0"/>
        </w:rPr>
        <w:t>Public</w:t>
      </w:r>
      <w:r w:rsidRPr="008A5776">
        <w:rPr>
          <w:rStyle w:val="medium-font"/>
          <w:b/>
        </w:rPr>
        <w:t xml:space="preserve"> </w:t>
      </w:r>
      <w:r w:rsidRPr="008A5776">
        <w:rPr>
          <w:rStyle w:val="Strong"/>
          <w:b w:val="0"/>
        </w:rPr>
        <w:t xml:space="preserve">Economics </w:t>
      </w:r>
      <w:r w:rsidRPr="008A5776">
        <w:rPr>
          <w:rStyle w:val="medium-font"/>
        </w:rPr>
        <w:t>95(1-2): 149-63.</w:t>
      </w:r>
    </w:p>
    <w:p w:rsidR="00DD539C" w:rsidRPr="008A5776" w:rsidRDefault="00DD539C" w:rsidP="00380B4A">
      <w:pPr>
        <w:ind w:left="720" w:hanging="720"/>
        <w:rPr>
          <w:rFonts w:eastAsia="Calibri" w:cs="Times New Roman"/>
        </w:rPr>
      </w:pPr>
    </w:p>
    <w:p w:rsidR="00991E0B" w:rsidRPr="008A5776" w:rsidRDefault="00991E0B" w:rsidP="00991E0B">
      <w:pPr>
        <w:tabs>
          <w:tab w:val="left" w:pos="810"/>
        </w:tabs>
        <w:autoSpaceDE w:val="0"/>
        <w:autoSpaceDN w:val="0"/>
        <w:adjustRightInd w:val="0"/>
        <w:spacing w:line="276" w:lineRule="auto"/>
        <w:ind w:left="720" w:hanging="720"/>
        <w:mirrorIndents/>
      </w:pPr>
      <w:proofErr w:type="spellStart"/>
      <w:r w:rsidRPr="008A5776">
        <w:t>Ruggles</w:t>
      </w:r>
      <w:proofErr w:type="spellEnd"/>
      <w:r w:rsidRPr="008A5776">
        <w:t>, S</w:t>
      </w:r>
      <w:r w:rsidR="003576E1">
        <w:t>.</w:t>
      </w:r>
      <w:r w:rsidRPr="008A5776">
        <w:t xml:space="preserve">J., </w:t>
      </w:r>
      <w:proofErr w:type="spellStart"/>
      <w:r w:rsidRPr="008A5776">
        <w:t>Alexander</w:t>
      </w:r>
      <w:proofErr w:type="gramStart"/>
      <w:r w:rsidR="003576E1">
        <w:t>,T</w:t>
      </w:r>
      <w:proofErr w:type="spellEnd"/>
      <w:proofErr w:type="gramEnd"/>
      <w:r w:rsidR="003576E1">
        <w:t>.</w:t>
      </w:r>
      <w:r w:rsidRPr="008A5776">
        <w:t xml:space="preserve">, </w:t>
      </w:r>
      <w:proofErr w:type="spellStart"/>
      <w:r w:rsidRPr="008A5776">
        <w:t>Genadek</w:t>
      </w:r>
      <w:proofErr w:type="spellEnd"/>
      <w:r w:rsidRPr="008A5776">
        <w:t>,</w:t>
      </w:r>
      <w:r w:rsidR="003576E1">
        <w:t xml:space="preserve"> K.,</w:t>
      </w:r>
      <w:r w:rsidRPr="008A5776">
        <w:t xml:space="preserve"> </w:t>
      </w:r>
      <w:proofErr w:type="spellStart"/>
      <w:r w:rsidRPr="008A5776">
        <w:t>Goeken</w:t>
      </w:r>
      <w:proofErr w:type="spellEnd"/>
      <w:r w:rsidRPr="008A5776">
        <w:t>,</w:t>
      </w:r>
      <w:r w:rsidR="003576E1">
        <w:t xml:space="preserve"> R.,</w:t>
      </w:r>
      <w:r w:rsidRPr="008A5776">
        <w:t xml:space="preserve"> Schroeder,</w:t>
      </w:r>
      <w:r w:rsidR="003576E1">
        <w:t xml:space="preserve"> M</w:t>
      </w:r>
      <w:r w:rsidR="002C21D7">
        <w:t>.</w:t>
      </w:r>
      <w:r w:rsidR="003576E1">
        <w:t xml:space="preserve">B., </w:t>
      </w:r>
      <w:proofErr w:type="spellStart"/>
      <w:r w:rsidRPr="008A5776">
        <w:t>Sobek</w:t>
      </w:r>
      <w:proofErr w:type="spellEnd"/>
      <w:r w:rsidR="00B03A64">
        <w:t>,</w:t>
      </w:r>
      <w:r w:rsidR="003576E1">
        <w:t xml:space="preserve"> M.,</w:t>
      </w:r>
      <w:r w:rsidR="00B03A64">
        <w:t xml:space="preserve"> </w:t>
      </w:r>
      <w:r w:rsidRPr="008A5776">
        <w:t xml:space="preserve">2010. Integrated Public Use </w:t>
      </w:r>
      <w:proofErr w:type="spellStart"/>
      <w:r w:rsidRPr="008A5776">
        <w:t>Microdata</w:t>
      </w:r>
      <w:proofErr w:type="spellEnd"/>
      <w:r w:rsidRPr="008A5776">
        <w:t xml:space="preserve"> Series: Version 5.0 [Machine-readable database]. Minneapolis: University of Minnesota.</w:t>
      </w:r>
    </w:p>
    <w:p w:rsidR="00991E0B" w:rsidRPr="008A5776" w:rsidRDefault="00991E0B" w:rsidP="00380B4A">
      <w:pPr>
        <w:ind w:left="720" w:hanging="720"/>
        <w:rPr>
          <w:rFonts w:eastAsia="Calibri" w:cs="Times New Roman"/>
        </w:rPr>
      </w:pPr>
    </w:p>
    <w:p w:rsidR="00A46D56" w:rsidRPr="008A5776" w:rsidRDefault="00A31ACC" w:rsidP="00380B4A">
      <w:pPr>
        <w:ind w:left="720" w:hanging="720"/>
        <w:rPr>
          <w:rFonts w:eastAsia="Calibri" w:cs="Times New Roman"/>
        </w:rPr>
      </w:pPr>
      <w:r w:rsidRPr="008A5776">
        <w:rPr>
          <w:rFonts w:eastAsia="Calibri" w:cs="Times New Roman"/>
        </w:rPr>
        <w:t>Shapiro, J</w:t>
      </w:r>
      <w:r w:rsidR="003576E1">
        <w:rPr>
          <w:rFonts w:eastAsia="Calibri" w:cs="Times New Roman"/>
        </w:rPr>
        <w:t>.</w:t>
      </w:r>
      <w:r w:rsidRPr="008A5776">
        <w:rPr>
          <w:rFonts w:eastAsia="Calibri" w:cs="Times New Roman"/>
        </w:rPr>
        <w:t>M.</w:t>
      </w:r>
      <w:r w:rsidR="00B03A64">
        <w:rPr>
          <w:rFonts w:eastAsia="Calibri" w:cs="Times New Roman"/>
        </w:rPr>
        <w:t>,</w:t>
      </w:r>
      <w:r w:rsidRPr="008A5776">
        <w:rPr>
          <w:rFonts w:eastAsia="Calibri" w:cs="Times New Roman"/>
        </w:rPr>
        <w:t xml:space="preserve"> 2006. Smart </w:t>
      </w:r>
      <w:r w:rsidR="00B03A64">
        <w:rPr>
          <w:rFonts w:eastAsia="Calibri" w:cs="Times New Roman"/>
        </w:rPr>
        <w:t>c</w:t>
      </w:r>
      <w:r w:rsidRPr="008A5776">
        <w:rPr>
          <w:rFonts w:eastAsia="Calibri" w:cs="Times New Roman"/>
        </w:rPr>
        <w:t xml:space="preserve">ities: </w:t>
      </w:r>
      <w:r w:rsidR="00B03A64">
        <w:rPr>
          <w:rFonts w:eastAsia="Calibri" w:cs="Times New Roman"/>
        </w:rPr>
        <w:t>q</w:t>
      </w:r>
      <w:r w:rsidRPr="008A5776">
        <w:rPr>
          <w:rFonts w:eastAsia="Calibri" w:cs="Times New Roman"/>
        </w:rPr>
        <w:t xml:space="preserve">uality of </w:t>
      </w:r>
      <w:r w:rsidR="00B03A64">
        <w:rPr>
          <w:rFonts w:eastAsia="Calibri" w:cs="Times New Roman"/>
        </w:rPr>
        <w:t>l</w:t>
      </w:r>
      <w:r w:rsidRPr="008A5776">
        <w:rPr>
          <w:rFonts w:eastAsia="Calibri" w:cs="Times New Roman"/>
        </w:rPr>
        <w:t xml:space="preserve">ife, </w:t>
      </w:r>
      <w:r w:rsidR="00B03A64">
        <w:rPr>
          <w:rFonts w:eastAsia="Calibri" w:cs="Times New Roman"/>
        </w:rPr>
        <w:t>productivity, and the g</w:t>
      </w:r>
      <w:r w:rsidRPr="008A5776">
        <w:rPr>
          <w:rFonts w:eastAsia="Calibri" w:cs="Times New Roman"/>
        </w:rPr>
        <w:t>row</w:t>
      </w:r>
      <w:r w:rsidR="00B03A64">
        <w:rPr>
          <w:rFonts w:eastAsia="Calibri" w:cs="Times New Roman"/>
        </w:rPr>
        <w:t>th effects of human c</w:t>
      </w:r>
      <w:r w:rsidRPr="008A5776">
        <w:rPr>
          <w:rFonts w:eastAsia="Calibri" w:cs="Times New Roman"/>
        </w:rPr>
        <w:t>apital</w:t>
      </w:r>
      <w:r w:rsidRPr="008A5776">
        <w:t>.</w:t>
      </w:r>
      <w:r w:rsidRPr="008A5776">
        <w:rPr>
          <w:rFonts w:eastAsia="Calibri" w:cs="Times New Roman"/>
        </w:rPr>
        <w:t xml:space="preserve"> </w:t>
      </w:r>
      <w:r w:rsidRPr="008A5776">
        <w:rPr>
          <w:rFonts w:eastAsia="Calibri" w:cs="Times New Roman"/>
          <w:iCs/>
          <w:szCs w:val="24"/>
        </w:rPr>
        <w:t>Review of Economics and Statistics</w:t>
      </w:r>
      <w:r w:rsidRPr="008A5776">
        <w:rPr>
          <w:rFonts w:eastAsia="Calibri" w:cs="Times New Roman"/>
          <w:szCs w:val="24"/>
        </w:rPr>
        <w:t xml:space="preserve"> 88, 324-335.</w:t>
      </w:r>
    </w:p>
    <w:p w:rsidR="00A46D56" w:rsidRPr="008A5776" w:rsidRDefault="00A46D56" w:rsidP="00380B4A">
      <w:pPr>
        <w:autoSpaceDE w:val="0"/>
        <w:autoSpaceDN w:val="0"/>
        <w:adjustRightInd w:val="0"/>
        <w:spacing w:after="0"/>
        <w:ind w:left="720" w:hanging="720"/>
      </w:pPr>
    </w:p>
    <w:p w:rsidR="003B750F" w:rsidRPr="008A5776" w:rsidRDefault="003B750F" w:rsidP="003B750F">
      <w:pPr>
        <w:autoSpaceDE w:val="0"/>
        <w:autoSpaceDN w:val="0"/>
        <w:adjustRightInd w:val="0"/>
        <w:spacing w:after="0"/>
        <w:ind w:left="720" w:hanging="720"/>
        <w:rPr>
          <w:rFonts w:cs="Times New Roman"/>
          <w:szCs w:val="24"/>
        </w:rPr>
      </w:pPr>
      <w:r w:rsidRPr="008A5776">
        <w:rPr>
          <w:rFonts w:cs="Times New Roman"/>
          <w:szCs w:val="24"/>
        </w:rPr>
        <w:t>Sjoquist, D</w:t>
      </w:r>
      <w:r w:rsidR="003576E1">
        <w:rPr>
          <w:rFonts w:cs="Times New Roman"/>
          <w:szCs w:val="24"/>
        </w:rPr>
        <w:t>.</w:t>
      </w:r>
      <w:r w:rsidRPr="008A5776">
        <w:rPr>
          <w:rFonts w:cs="Times New Roman"/>
          <w:szCs w:val="24"/>
        </w:rPr>
        <w:t xml:space="preserve"> L., Walker</w:t>
      </w:r>
      <w:r w:rsidR="00222280">
        <w:rPr>
          <w:rFonts w:cs="Times New Roman"/>
          <w:szCs w:val="24"/>
        </w:rPr>
        <w:t>,</w:t>
      </w:r>
      <w:r w:rsidR="003576E1">
        <w:rPr>
          <w:rFonts w:cs="Times New Roman"/>
          <w:szCs w:val="24"/>
        </w:rPr>
        <w:t xml:space="preserve"> M.B.,</w:t>
      </w:r>
      <w:r w:rsidRPr="008A5776">
        <w:rPr>
          <w:rFonts w:cs="Times New Roman"/>
          <w:szCs w:val="24"/>
        </w:rPr>
        <w:t xml:space="preserve"> 2010.</w:t>
      </w:r>
      <w:r w:rsidRPr="008A5776">
        <w:rPr>
          <w:rFonts w:cs="Times New Roman"/>
          <w:b/>
          <w:bCs/>
          <w:color w:val="333333"/>
          <w:szCs w:val="24"/>
        </w:rPr>
        <w:t xml:space="preserve"> </w:t>
      </w:r>
      <w:proofErr w:type="gramStart"/>
      <w:r w:rsidRPr="008A5776">
        <w:rPr>
          <w:rStyle w:val="Emphasis"/>
          <w:rFonts w:cs="Times New Roman"/>
          <w:bCs/>
          <w:i w:val="0"/>
          <w:szCs w:val="24"/>
        </w:rPr>
        <w:t xml:space="preserve">Informing </w:t>
      </w:r>
      <w:r w:rsidR="00222280">
        <w:rPr>
          <w:rStyle w:val="Emphasis"/>
          <w:rFonts w:cs="Times New Roman"/>
          <w:bCs/>
          <w:i w:val="0"/>
          <w:szCs w:val="24"/>
        </w:rPr>
        <w:t>l</w:t>
      </w:r>
      <w:r w:rsidRPr="008A5776">
        <w:rPr>
          <w:rStyle w:val="Emphasis"/>
          <w:rFonts w:cs="Times New Roman"/>
          <w:bCs/>
          <w:i w:val="0"/>
          <w:szCs w:val="24"/>
        </w:rPr>
        <w:t xml:space="preserve">ottery </w:t>
      </w:r>
      <w:r w:rsidR="00222280">
        <w:rPr>
          <w:rStyle w:val="Emphasis"/>
          <w:rFonts w:cs="Times New Roman"/>
          <w:bCs/>
          <w:i w:val="0"/>
          <w:szCs w:val="24"/>
        </w:rPr>
        <w:t>b</w:t>
      </w:r>
      <w:r w:rsidRPr="008A5776">
        <w:rPr>
          <w:rStyle w:val="Emphasis"/>
          <w:rFonts w:cs="Times New Roman"/>
          <w:bCs/>
          <w:i w:val="0"/>
          <w:szCs w:val="24"/>
        </w:rPr>
        <w:t xml:space="preserve">udget </w:t>
      </w:r>
      <w:r w:rsidR="00222280">
        <w:rPr>
          <w:rStyle w:val="Emphasis"/>
          <w:rFonts w:cs="Times New Roman"/>
          <w:bCs/>
          <w:i w:val="0"/>
          <w:szCs w:val="24"/>
        </w:rPr>
        <w:t>d</w:t>
      </w:r>
      <w:r w:rsidRPr="008A5776">
        <w:rPr>
          <w:rStyle w:val="Emphasis"/>
          <w:rFonts w:cs="Times New Roman"/>
          <w:bCs/>
          <w:i w:val="0"/>
          <w:szCs w:val="24"/>
        </w:rPr>
        <w:t>ecisions: HOPE and Pre-K</w:t>
      </w:r>
      <w:r w:rsidRPr="008A5776">
        <w:rPr>
          <w:rFonts w:cs="Times New Roman"/>
          <w:szCs w:val="24"/>
        </w:rPr>
        <w:t>.</w:t>
      </w:r>
      <w:proofErr w:type="gramEnd"/>
      <w:r w:rsidRPr="008A5776">
        <w:rPr>
          <w:rFonts w:cs="Times New Roman"/>
          <w:szCs w:val="24"/>
        </w:rPr>
        <w:t xml:space="preserve"> FRC Report 215, Atlanta, GA: Fiscal Research Center, Andrew Young School of Policy Studies, Georgia State University.</w:t>
      </w:r>
    </w:p>
    <w:p w:rsidR="003B750F" w:rsidRPr="008A5776" w:rsidRDefault="003B750F" w:rsidP="003B750F">
      <w:pPr>
        <w:autoSpaceDE w:val="0"/>
        <w:autoSpaceDN w:val="0"/>
        <w:adjustRightInd w:val="0"/>
        <w:spacing w:after="0"/>
        <w:ind w:left="720" w:hanging="720"/>
        <w:rPr>
          <w:rFonts w:cs="Times New Roman"/>
          <w:szCs w:val="24"/>
        </w:rPr>
      </w:pPr>
    </w:p>
    <w:p w:rsidR="006B3812" w:rsidRPr="008A5776" w:rsidRDefault="00C10AF5" w:rsidP="006B3812">
      <w:pPr>
        <w:spacing w:after="0" w:line="276" w:lineRule="auto"/>
        <w:ind w:left="720" w:hanging="720"/>
        <w:rPr>
          <w:rFonts w:cs="Times New Roman"/>
          <w:sz w:val="36"/>
          <w:szCs w:val="36"/>
        </w:rPr>
      </w:pPr>
      <w:r w:rsidRPr="008A5776">
        <w:t>Sjoquist, D</w:t>
      </w:r>
      <w:r w:rsidR="003576E1">
        <w:t>.</w:t>
      </w:r>
      <w:r w:rsidRPr="008A5776">
        <w:t>L.</w:t>
      </w:r>
      <w:r w:rsidR="003576E1">
        <w:t>,</w:t>
      </w:r>
      <w:r w:rsidRPr="008A5776">
        <w:t xml:space="preserve"> </w:t>
      </w:r>
      <w:proofErr w:type="gramStart"/>
      <w:r w:rsidRPr="008A5776">
        <w:t>Winters</w:t>
      </w:r>
      <w:proofErr w:type="gramEnd"/>
      <w:r w:rsidR="00222280">
        <w:t>,</w:t>
      </w:r>
      <w:r w:rsidR="003576E1">
        <w:t xml:space="preserve"> J.V.,</w:t>
      </w:r>
      <w:r w:rsidRPr="008A5776">
        <w:t xml:space="preserve"> </w:t>
      </w:r>
      <w:r w:rsidR="002F02BD" w:rsidRPr="008A5776">
        <w:t>2012</w:t>
      </w:r>
      <w:r w:rsidR="0025496C" w:rsidRPr="008A5776">
        <w:t>a</w:t>
      </w:r>
      <w:r w:rsidRPr="008A5776">
        <w:rPr>
          <w:szCs w:val="24"/>
        </w:rPr>
        <w:t>.</w:t>
      </w:r>
      <w:r w:rsidR="006B3812" w:rsidRPr="008A5776">
        <w:rPr>
          <w:rFonts w:cs="Times New Roman"/>
          <w:szCs w:val="24"/>
        </w:rPr>
        <w:t xml:space="preserve"> Building the </w:t>
      </w:r>
      <w:r w:rsidR="00222280">
        <w:rPr>
          <w:rFonts w:cs="Times New Roman"/>
          <w:szCs w:val="24"/>
        </w:rPr>
        <w:t>s</w:t>
      </w:r>
      <w:r w:rsidR="006B3812" w:rsidRPr="008A5776">
        <w:rPr>
          <w:rFonts w:cs="Times New Roman"/>
          <w:szCs w:val="24"/>
        </w:rPr>
        <w:t xml:space="preserve">tock of </w:t>
      </w:r>
      <w:r w:rsidR="00222280">
        <w:rPr>
          <w:rFonts w:cs="Times New Roman"/>
          <w:szCs w:val="24"/>
        </w:rPr>
        <w:t>c</w:t>
      </w:r>
      <w:r w:rsidR="006B3812" w:rsidRPr="008A5776">
        <w:rPr>
          <w:rFonts w:cs="Times New Roman"/>
          <w:szCs w:val="24"/>
        </w:rPr>
        <w:t>ollege-</w:t>
      </w:r>
      <w:r w:rsidR="00222280">
        <w:rPr>
          <w:rFonts w:cs="Times New Roman"/>
          <w:szCs w:val="24"/>
        </w:rPr>
        <w:t>e</w:t>
      </w:r>
      <w:r w:rsidR="006B3812" w:rsidRPr="008A5776">
        <w:rPr>
          <w:rFonts w:cs="Times New Roman"/>
          <w:szCs w:val="24"/>
        </w:rPr>
        <w:t xml:space="preserve">ducated </w:t>
      </w:r>
      <w:r w:rsidR="00222280">
        <w:rPr>
          <w:rFonts w:cs="Times New Roman"/>
          <w:szCs w:val="24"/>
        </w:rPr>
        <w:t>labor r</w:t>
      </w:r>
      <w:r w:rsidR="006B3812" w:rsidRPr="008A5776">
        <w:rPr>
          <w:rFonts w:cs="Times New Roman"/>
          <w:szCs w:val="24"/>
        </w:rPr>
        <w:t>evisited. Journal of Human Resources</w:t>
      </w:r>
      <w:r w:rsidR="00EE455D" w:rsidRPr="008A5776">
        <w:rPr>
          <w:rFonts w:cs="Times New Roman"/>
          <w:szCs w:val="24"/>
        </w:rPr>
        <w:t xml:space="preserve"> 47(1): 320-331</w:t>
      </w:r>
      <w:r w:rsidR="002F02BD" w:rsidRPr="008A5776">
        <w:rPr>
          <w:rFonts w:cs="Times New Roman"/>
          <w:szCs w:val="24"/>
        </w:rPr>
        <w:t>.</w:t>
      </w:r>
    </w:p>
    <w:p w:rsidR="00F243EE" w:rsidRPr="008A5776" w:rsidRDefault="00F243EE" w:rsidP="006A24EF">
      <w:pPr>
        <w:autoSpaceDE w:val="0"/>
        <w:autoSpaceDN w:val="0"/>
        <w:adjustRightInd w:val="0"/>
        <w:spacing w:after="0"/>
        <w:ind w:left="720" w:hanging="720"/>
      </w:pPr>
    </w:p>
    <w:p w:rsidR="00782B2D" w:rsidRPr="008A5776" w:rsidRDefault="00782B2D" w:rsidP="00782B2D">
      <w:pPr>
        <w:autoSpaceDE w:val="0"/>
        <w:autoSpaceDN w:val="0"/>
        <w:adjustRightInd w:val="0"/>
        <w:spacing w:after="0"/>
        <w:ind w:left="720" w:hanging="720"/>
      </w:pPr>
      <w:r w:rsidRPr="008A5776">
        <w:t>Sjoquist, D</w:t>
      </w:r>
      <w:r w:rsidR="003576E1">
        <w:t>.</w:t>
      </w:r>
      <w:r w:rsidRPr="008A5776">
        <w:t>L.</w:t>
      </w:r>
      <w:r w:rsidR="003576E1">
        <w:t>,</w:t>
      </w:r>
      <w:r w:rsidRPr="008A5776">
        <w:t xml:space="preserve"> </w:t>
      </w:r>
      <w:proofErr w:type="gramStart"/>
      <w:r w:rsidRPr="008A5776">
        <w:t>Winters</w:t>
      </w:r>
      <w:proofErr w:type="gramEnd"/>
      <w:r w:rsidR="00222280">
        <w:t>,</w:t>
      </w:r>
      <w:r w:rsidR="003576E1">
        <w:t xml:space="preserve"> J.V.,</w:t>
      </w:r>
      <w:r w:rsidRPr="008A5776">
        <w:t xml:space="preserve"> 2012b</w:t>
      </w:r>
      <w:r w:rsidRPr="008A5776">
        <w:rPr>
          <w:szCs w:val="24"/>
        </w:rPr>
        <w:t>.</w:t>
      </w:r>
      <w:r w:rsidRPr="008A5776">
        <w:rPr>
          <w:rFonts w:cs="Times New Roman"/>
          <w:szCs w:val="24"/>
        </w:rPr>
        <w:t xml:space="preserve"> Merit </w:t>
      </w:r>
      <w:r w:rsidR="00222280">
        <w:rPr>
          <w:rFonts w:cs="Times New Roman"/>
          <w:szCs w:val="24"/>
        </w:rPr>
        <w:t>a</w:t>
      </w:r>
      <w:r w:rsidRPr="008A5776">
        <w:rPr>
          <w:rFonts w:cs="Times New Roman"/>
          <w:szCs w:val="24"/>
        </w:rPr>
        <w:t xml:space="preserve">id and </w:t>
      </w:r>
      <w:r w:rsidR="00222280">
        <w:rPr>
          <w:rFonts w:cs="Times New Roman"/>
          <w:szCs w:val="24"/>
        </w:rPr>
        <w:t>p</w:t>
      </w:r>
      <w:r w:rsidRPr="008A5776">
        <w:rPr>
          <w:rFonts w:cs="Times New Roman"/>
          <w:szCs w:val="24"/>
        </w:rPr>
        <w:t>ost-</w:t>
      </w:r>
      <w:r w:rsidR="00222280">
        <w:rPr>
          <w:rFonts w:cs="Times New Roman"/>
          <w:szCs w:val="24"/>
        </w:rPr>
        <w:t>c</w:t>
      </w:r>
      <w:r w:rsidRPr="008A5776">
        <w:rPr>
          <w:rFonts w:cs="Times New Roman"/>
          <w:szCs w:val="24"/>
        </w:rPr>
        <w:t xml:space="preserve">ollege </w:t>
      </w:r>
      <w:r w:rsidR="00222280">
        <w:rPr>
          <w:rFonts w:cs="Times New Roman"/>
          <w:szCs w:val="24"/>
        </w:rPr>
        <w:t>retention in the s</w:t>
      </w:r>
      <w:r w:rsidRPr="008A5776">
        <w:rPr>
          <w:rFonts w:cs="Times New Roman"/>
          <w:szCs w:val="24"/>
        </w:rPr>
        <w:t xml:space="preserve">tate. </w:t>
      </w:r>
      <w:proofErr w:type="gramStart"/>
      <w:r w:rsidRPr="008A5776">
        <w:rPr>
          <w:rFonts w:cs="Times New Roman"/>
          <w:szCs w:val="24"/>
        </w:rPr>
        <w:t>Georgia State University Working Paper.</w:t>
      </w:r>
      <w:proofErr w:type="gramEnd"/>
    </w:p>
    <w:p w:rsidR="00782B2D" w:rsidRPr="008A5776" w:rsidRDefault="00782B2D" w:rsidP="00A4038A">
      <w:pPr>
        <w:autoSpaceDE w:val="0"/>
        <w:autoSpaceDN w:val="0"/>
        <w:adjustRightInd w:val="0"/>
        <w:spacing w:after="0"/>
      </w:pPr>
    </w:p>
    <w:p w:rsidR="00DF3BCE" w:rsidRPr="008A5776" w:rsidRDefault="008D59A1">
      <w:pPr>
        <w:autoSpaceDE w:val="0"/>
        <w:autoSpaceDN w:val="0"/>
        <w:adjustRightInd w:val="0"/>
        <w:spacing w:after="0"/>
        <w:ind w:left="720" w:hanging="720"/>
        <w:rPr>
          <w:rFonts w:cs="Times New Roman"/>
          <w:szCs w:val="24"/>
        </w:rPr>
      </w:pPr>
      <w:proofErr w:type="spellStart"/>
      <w:r w:rsidRPr="008A5776">
        <w:rPr>
          <w:rFonts w:cs="Times New Roman"/>
          <w:szCs w:val="24"/>
        </w:rPr>
        <w:t>Trostel</w:t>
      </w:r>
      <w:proofErr w:type="spellEnd"/>
      <w:r w:rsidRPr="008A5776">
        <w:rPr>
          <w:rFonts w:cs="Times New Roman"/>
          <w:szCs w:val="24"/>
        </w:rPr>
        <w:t>, P</w:t>
      </w:r>
      <w:r w:rsidR="003576E1">
        <w:rPr>
          <w:rFonts w:cs="Times New Roman"/>
          <w:szCs w:val="24"/>
        </w:rPr>
        <w:t>.</w:t>
      </w:r>
      <w:r w:rsidRPr="008A5776">
        <w:rPr>
          <w:rFonts w:cs="Times New Roman"/>
          <w:szCs w:val="24"/>
        </w:rPr>
        <w:t>A.</w:t>
      </w:r>
      <w:r w:rsidR="00222280">
        <w:rPr>
          <w:rFonts w:cs="Times New Roman"/>
          <w:szCs w:val="24"/>
        </w:rPr>
        <w:t>,</w:t>
      </w:r>
      <w:r w:rsidRPr="008A5776">
        <w:rPr>
          <w:rFonts w:cs="Times New Roman"/>
          <w:szCs w:val="24"/>
        </w:rPr>
        <w:t xml:space="preserve"> 2010. </w:t>
      </w:r>
      <w:proofErr w:type="gramStart"/>
      <w:r w:rsidR="007763AE" w:rsidRPr="008A5776">
        <w:rPr>
          <w:rFonts w:cs="Times New Roman"/>
          <w:szCs w:val="24"/>
        </w:rPr>
        <w:t xml:space="preserve">The </w:t>
      </w:r>
      <w:r w:rsidR="00222280">
        <w:rPr>
          <w:rFonts w:cs="Times New Roman"/>
          <w:szCs w:val="24"/>
        </w:rPr>
        <w:t>f</w:t>
      </w:r>
      <w:r w:rsidR="007763AE" w:rsidRPr="008A5776">
        <w:rPr>
          <w:rFonts w:cs="Times New Roman"/>
          <w:szCs w:val="24"/>
        </w:rPr>
        <w:t xml:space="preserve">iscal </w:t>
      </w:r>
      <w:r w:rsidR="00222280">
        <w:rPr>
          <w:rFonts w:cs="Times New Roman"/>
          <w:szCs w:val="24"/>
        </w:rPr>
        <w:t>i</w:t>
      </w:r>
      <w:r w:rsidR="007763AE" w:rsidRPr="008A5776">
        <w:rPr>
          <w:rFonts w:cs="Times New Roman"/>
          <w:szCs w:val="24"/>
        </w:rPr>
        <w:t xml:space="preserve">mpacts of </w:t>
      </w:r>
      <w:r w:rsidR="00222280">
        <w:rPr>
          <w:rFonts w:cs="Times New Roman"/>
          <w:szCs w:val="24"/>
        </w:rPr>
        <w:t>c</w:t>
      </w:r>
      <w:r w:rsidR="007763AE" w:rsidRPr="008A5776">
        <w:rPr>
          <w:rFonts w:cs="Times New Roman"/>
          <w:szCs w:val="24"/>
        </w:rPr>
        <w:t xml:space="preserve">ollege </w:t>
      </w:r>
      <w:r w:rsidR="00222280">
        <w:rPr>
          <w:rFonts w:cs="Times New Roman"/>
          <w:szCs w:val="24"/>
        </w:rPr>
        <w:t>a</w:t>
      </w:r>
      <w:r w:rsidR="007763AE" w:rsidRPr="008A5776">
        <w:rPr>
          <w:rFonts w:cs="Times New Roman"/>
          <w:szCs w:val="24"/>
        </w:rPr>
        <w:t>ttainment.</w:t>
      </w:r>
      <w:proofErr w:type="gramEnd"/>
      <w:r w:rsidR="007763AE" w:rsidRPr="008A5776">
        <w:rPr>
          <w:rFonts w:cs="Times New Roman"/>
          <w:szCs w:val="24"/>
        </w:rPr>
        <w:t xml:space="preserve"> Research in Higher Education 51, 220–247</w:t>
      </w:r>
      <w:r w:rsidR="00D23131" w:rsidRPr="008A5776">
        <w:rPr>
          <w:rFonts w:cs="Times New Roman"/>
          <w:szCs w:val="24"/>
        </w:rPr>
        <w:t>.</w:t>
      </w:r>
    </w:p>
    <w:p w:rsidR="00DF3BCE" w:rsidRPr="008A5776" w:rsidRDefault="00DF3BCE">
      <w:pPr>
        <w:autoSpaceDE w:val="0"/>
        <w:autoSpaceDN w:val="0"/>
        <w:adjustRightInd w:val="0"/>
        <w:spacing w:after="0"/>
        <w:ind w:left="720" w:hanging="720"/>
        <w:rPr>
          <w:rFonts w:cs="Times New Roman"/>
          <w:szCs w:val="24"/>
        </w:rPr>
      </w:pPr>
    </w:p>
    <w:p w:rsidR="00A46D56" w:rsidRPr="008A5776" w:rsidRDefault="00A31ACC" w:rsidP="00380B4A">
      <w:pPr>
        <w:spacing w:after="0"/>
        <w:ind w:left="720" w:hanging="720"/>
        <w:rPr>
          <w:rFonts w:cs="Times New Roman"/>
          <w:szCs w:val="24"/>
        </w:rPr>
      </w:pPr>
      <w:proofErr w:type="gramStart"/>
      <w:r w:rsidRPr="008A5776">
        <w:rPr>
          <w:rFonts w:cs="Times New Roman"/>
          <w:szCs w:val="24"/>
        </w:rPr>
        <w:t>Winters, J</w:t>
      </w:r>
      <w:r w:rsidR="003576E1">
        <w:rPr>
          <w:rFonts w:cs="Times New Roman"/>
          <w:szCs w:val="24"/>
        </w:rPr>
        <w:t>.</w:t>
      </w:r>
      <w:r w:rsidRPr="008A5776">
        <w:rPr>
          <w:rFonts w:cs="Times New Roman"/>
          <w:szCs w:val="24"/>
        </w:rPr>
        <w:t>V.</w:t>
      </w:r>
      <w:r w:rsidR="00222280">
        <w:rPr>
          <w:rFonts w:cs="Times New Roman"/>
          <w:szCs w:val="24"/>
        </w:rPr>
        <w:t>,</w:t>
      </w:r>
      <w:r w:rsidRPr="008A5776">
        <w:rPr>
          <w:rFonts w:cs="Times New Roman"/>
          <w:szCs w:val="24"/>
        </w:rPr>
        <w:t xml:space="preserve"> 2011</w:t>
      </w:r>
      <w:r w:rsidR="00A02645" w:rsidRPr="008A5776">
        <w:rPr>
          <w:rFonts w:cs="Times New Roman"/>
          <w:szCs w:val="24"/>
        </w:rPr>
        <w:t>a</w:t>
      </w:r>
      <w:r w:rsidRPr="008A5776">
        <w:rPr>
          <w:rFonts w:cs="Times New Roman"/>
          <w:szCs w:val="24"/>
        </w:rPr>
        <w:t>.</w:t>
      </w:r>
      <w:proofErr w:type="gramEnd"/>
      <w:r w:rsidRPr="008A5776">
        <w:rPr>
          <w:rFonts w:cs="Times New Roman"/>
          <w:szCs w:val="24"/>
        </w:rPr>
        <w:t xml:space="preserve"> </w:t>
      </w:r>
      <w:proofErr w:type="gramStart"/>
      <w:r w:rsidRPr="008A5776">
        <w:rPr>
          <w:rFonts w:cs="Times New Roman"/>
          <w:szCs w:val="24"/>
        </w:rPr>
        <w:t xml:space="preserve">Human </w:t>
      </w:r>
      <w:r w:rsidR="00222280">
        <w:rPr>
          <w:rFonts w:cs="Times New Roman"/>
          <w:szCs w:val="24"/>
        </w:rPr>
        <w:t>c</w:t>
      </w:r>
      <w:r w:rsidRPr="008A5776">
        <w:rPr>
          <w:rFonts w:cs="Times New Roman"/>
          <w:szCs w:val="24"/>
        </w:rPr>
        <w:t xml:space="preserve">apital, </w:t>
      </w:r>
      <w:r w:rsidR="00222280">
        <w:rPr>
          <w:rFonts w:cs="Times New Roman"/>
          <w:szCs w:val="24"/>
        </w:rPr>
        <w:t>h</w:t>
      </w:r>
      <w:r w:rsidRPr="008A5776">
        <w:rPr>
          <w:rFonts w:cs="Times New Roman"/>
          <w:szCs w:val="24"/>
        </w:rPr>
        <w:t xml:space="preserve">igher </w:t>
      </w:r>
      <w:r w:rsidR="00222280">
        <w:rPr>
          <w:rFonts w:cs="Times New Roman"/>
          <w:szCs w:val="24"/>
        </w:rPr>
        <w:t>e</w:t>
      </w:r>
      <w:r w:rsidRPr="008A5776">
        <w:rPr>
          <w:rFonts w:cs="Times New Roman"/>
          <w:szCs w:val="24"/>
        </w:rPr>
        <w:t xml:space="preserve">ducation </w:t>
      </w:r>
      <w:r w:rsidR="00222280">
        <w:rPr>
          <w:rFonts w:cs="Times New Roman"/>
          <w:szCs w:val="24"/>
        </w:rPr>
        <w:t>i</w:t>
      </w:r>
      <w:r w:rsidRPr="008A5776">
        <w:rPr>
          <w:rFonts w:cs="Times New Roman"/>
          <w:szCs w:val="24"/>
        </w:rPr>
        <w:t xml:space="preserve">nstitutions, and </w:t>
      </w:r>
      <w:r w:rsidR="00222280">
        <w:rPr>
          <w:rFonts w:cs="Times New Roman"/>
          <w:szCs w:val="24"/>
        </w:rPr>
        <w:t>q</w:t>
      </w:r>
      <w:r w:rsidRPr="008A5776">
        <w:rPr>
          <w:rFonts w:cs="Times New Roman"/>
          <w:szCs w:val="24"/>
        </w:rPr>
        <w:t xml:space="preserve">uality of </w:t>
      </w:r>
      <w:r w:rsidR="00222280">
        <w:rPr>
          <w:rFonts w:cs="Times New Roman"/>
          <w:szCs w:val="24"/>
        </w:rPr>
        <w:t>l</w:t>
      </w:r>
      <w:r w:rsidRPr="008A5776">
        <w:rPr>
          <w:rFonts w:cs="Times New Roman"/>
          <w:szCs w:val="24"/>
        </w:rPr>
        <w:t>ife.</w:t>
      </w:r>
      <w:proofErr w:type="gramEnd"/>
      <w:r w:rsidRPr="008A5776">
        <w:rPr>
          <w:rFonts w:cs="Times New Roman"/>
          <w:szCs w:val="24"/>
        </w:rPr>
        <w:t xml:space="preserve"> </w:t>
      </w:r>
      <w:r w:rsidR="00AD4D1F" w:rsidRPr="008A5776">
        <w:rPr>
          <w:rFonts w:cs="Times New Roman"/>
          <w:szCs w:val="24"/>
        </w:rPr>
        <w:t>Regional Science and Urban Economics</w:t>
      </w:r>
      <w:r w:rsidR="00456FD2" w:rsidRPr="008A5776">
        <w:rPr>
          <w:rFonts w:cs="Times New Roman"/>
          <w:szCs w:val="24"/>
        </w:rPr>
        <w:t xml:space="preserve"> 41(5), 446-454.</w:t>
      </w:r>
    </w:p>
    <w:p w:rsidR="00A46D56" w:rsidRPr="008A5776" w:rsidRDefault="00A46D56" w:rsidP="00380B4A">
      <w:pPr>
        <w:spacing w:after="0"/>
        <w:ind w:left="720" w:hanging="720"/>
        <w:rPr>
          <w:rFonts w:cs="Times New Roman"/>
          <w:szCs w:val="24"/>
        </w:rPr>
      </w:pPr>
    </w:p>
    <w:p w:rsidR="00A46D56" w:rsidRPr="008A5776" w:rsidRDefault="00A02645" w:rsidP="00380B4A">
      <w:pPr>
        <w:spacing w:after="0"/>
        <w:ind w:left="720" w:hanging="720"/>
        <w:rPr>
          <w:rFonts w:cs="Times New Roman"/>
          <w:szCs w:val="24"/>
        </w:rPr>
      </w:pPr>
      <w:proofErr w:type="gramStart"/>
      <w:r w:rsidRPr="008A5776">
        <w:rPr>
          <w:rFonts w:cs="Times New Roman"/>
          <w:szCs w:val="24"/>
        </w:rPr>
        <w:t>Winters, J</w:t>
      </w:r>
      <w:r w:rsidR="003576E1">
        <w:rPr>
          <w:rFonts w:cs="Times New Roman"/>
          <w:szCs w:val="24"/>
        </w:rPr>
        <w:t>.</w:t>
      </w:r>
      <w:r w:rsidRPr="008A5776">
        <w:rPr>
          <w:rFonts w:cs="Times New Roman"/>
          <w:szCs w:val="24"/>
        </w:rPr>
        <w:t>V., 2011b.</w:t>
      </w:r>
      <w:proofErr w:type="gramEnd"/>
      <w:r w:rsidRPr="008A5776">
        <w:rPr>
          <w:rFonts w:cs="Times New Roman"/>
          <w:szCs w:val="24"/>
        </w:rPr>
        <w:t xml:space="preserve"> Why </w:t>
      </w:r>
      <w:r w:rsidR="00222280">
        <w:rPr>
          <w:rFonts w:cs="Times New Roman"/>
          <w:szCs w:val="24"/>
        </w:rPr>
        <w:t>a</w:t>
      </w:r>
      <w:r w:rsidRPr="008A5776">
        <w:rPr>
          <w:rFonts w:cs="Times New Roman"/>
          <w:szCs w:val="24"/>
        </w:rPr>
        <w:t xml:space="preserve">re </w:t>
      </w:r>
      <w:r w:rsidR="00222280">
        <w:rPr>
          <w:rFonts w:cs="Times New Roman"/>
          <w:szCs w:val="24"/>
        </w:rPr>
        <w:t>s</w:t>
      </w:r>
      <w:r w:rsidRPr="008A5776">
        <w:rPr>
          <w:rFonts w:cs="Times New Roman"/>
          <w:szCs w:val="24"/>
        </w:rPr>
        <w:t xml:space="preserve">mart </w:t>
      </w:r>
      <w:r w:rsidR="00222280">
        <w:rPr>
          <w:rFonts w:cs="Times New Roman"/>
          <w:szCs w:val="24"/>
        </w:rPr>
        <w:t>c</w:t>
      </w:r>
      <w:r w:rsidRPr="008A5776">
        <w:rPr>
          <w:rFonts w:cs="Times New Roman"/>
          <w:szCs w:val="24"/>
        </w:rPr>
        <w:t xml:space="preserve">ities </w:t>
      </w:r>
      <w:r w:rsidR="00222280">
        <w:rPr>
          <w:rFonts w:cs="Times New Roman"/>
          <w:szCs w:val="24"/>
        </w:rPr>
        <w:t>g</w:t>
      </w:r>
      <w:r w:rsidRPr="008A5776">
        <w:rPr>
          <w:rFonts w:cs="Times New Roman"/>
          <w:szCs w:val="24"/>
        </w:rPr>
        <w:t xml:space="preserve">rowing? </w:t>
      </w:r>
      <w:proofErr w:type="gramStart"/>
      <w:r w:rsidR="00222280">
        <w:rPr>
          <w:rFonts w:cs="Times New Roman"/>
          <w:szCs w:val="24"/>
        </w:rPr>
        <w:t>w</w:t>
      </w:r>
      <w:r w:rsidRPr="008A5776">
        <w:rPr>
          <w:rFonts w:cs="Times New Roman"/>
          <w:szCs w:val="24"/>
        </w:rPr>
        <w:t>ho</w:t>
      </w:r>
      <w:proofErr w:type="gramEnd"/>
      <w:r w:rsidRPr="008A5776">
        <w:rPr>
          <w:rFonts w:cs="Times New Roman"/>
          <w:szCs w:val="24"/>
        </w:rPr>
        <w:t xml:space="preserve"> </w:t>
      </w:r>
      <w:r w:rsidR="00222280">
        <w:rPr>
          <w:rFonts w:cs="Times New Roman"/>
          <w:szCs w:val="24"/>
        </w:rPr>
        <w:t>m</w:t>
      </w:r>
      <w:r w:rsidRPr="008A5776">
        <w:rPr>
          <w:rFonts w:cs="Times New Roman"/>
          <w:szCs w:val="24"/>
        </w:rPr>
        <w:t xml:space="preserve">oves and </w:t>
      </w:r>
      <w:r w:rsidR="00222280">
        <w:rPr>
          <w:rFonts w:cs="Times New Roman"/>
          <w:szCs w:val="24"/>
        </w:rPr>
        <w:t>w</w:t>
      </w:r>
      <w:r w:rsidRPr="008A5776">
        <w:rPr>
          <w:rFonts w:cs="Times New Roman"/>
          <w:szCs w:val="24"/>
        </w:rPr>
        <w:t xml:space="preserve">ho </w:t>
      </w:r>
      <w:r w:rsidR="00222280">
        <w:rPr>
          <w:rFonts w:cs="Times New Roman"/>
          <w:szCs w:val="24"/>
        </w:rPr>
        <w:t>s</w:t>
      </w:r>
      <w:r w:rsidRPr="008A5776">
        <w:rPr>
          <w:rFonts w:cs="Times New Roman"/>
          <w:szCs w:val="24"/>
        </w:rPr>
        <w:t xml:space="preserve">tays. </w:t>
      </w:r>
      <w:r w:rsidR="00AD4D1F" w:rsidRPr="008A5776">
        <w:rPr>
          <w:rFonts w:cs="Times New Roman"/>
          <w:szCs w:val="24"/>
        </w:rPr>
        <w:t>Journal of Regional Science</w:t>
      </w:r>
      <w:r w:rsidRPr="008A5776">
        <w:rPr>
          <w:rFonts w:cs="Times New Roman"/>
          <w:szCs w:val="24"/>
        </w:rPr>
        <w:t xml:space="preserve"> 51(2): 253-270.</w:t>
      </w:r>
    </w:p>
    <w:p w:rsidR="00A46D56" w:rsidRPr="008A5776" w:rsidRDefault="00A46D56" w:rsidP="00380B4A">
      <w:pPr>
        <w:spacing w:after="0"/>
        <w:ind w:left="720" w:hanging="720"/>
        <w:rPr>
          <w:rFonts w:cs="Times New Roman"/>
          <w:szCs w:val="24"/>
        </w:rPr>
      </w:pPr>
    </w:p>
    <w:p w:rsidR="00A46D56" w:rsidRPr="008A5776" w:rsidRDefault="00A02645" w:rsidP="00380B4A">
      <w:pPr>
        <w:spacing w:after="0"/>
        <w:ind w:left="720" w:hanging="720"/>
        <w:rPr>
          <w:rFonts w:cs="Times New Roman"/>
          <w:szCs w:val="24"/>
        </w:rPr>
      </w:pPr>
      <w:proofErr w:type="gramStart"/>
      <w:r w:rsidRPr="008A5776">
        <w:rPr>
          <w:rFonts w:cs="Times New Roman"/>
          <w:szCs w:val="24"/>
        </w:rPr>
        <w:t>Winters, J</w:t>
      </w:r>
      <w:r w:rsidR="003576E1">
        <w:rPr>
          <w:rFonts w:cs="Times New Roman"/>
          <w:szCs w:val="24"/>
        </w:rPr>
        <w:t>.</w:t>
      </w:r>
      <w:r w:rsidRPr="008A5776">
        <w:rPr>
          <w:rFonts w:cs="Times New Roman"/>
          <w:szCs w:val="24"/>
        </w:rPr>
        <w:t>V., 2011c.</w:t>
      </w:r>
      <w:proofErr w:type="gramEnd"/>
      <w:r w:rsidRPr="008A5776">
        <w:rPr>
          <w:rFonts w:cs="Times New Roman"/>
          <w:szCs w:val="24"/>
        </w:rPr>
        <w:t xml:space="preserve"> </w:t>
      </w:r>
      <w:r w:rsidR="00D34441" w:rsidRPr="008A5776">
        <w:rPr>
          <w:rFonts w:cs="Times New Roman"/>
          <w:szCs w:val="24"/>
        </w:rPr>
        <w:t xml:space="preserve">Human </w:t>
      </w:r>
      <w:r w:rsidR="00222280">
        <w:rPr>
          <w:rFonts w:cs="Times New Roman"/>
          <w:szCs w:val="24"/>
        </w:rPr>
        <w:t>c</w:t>
      </w:r>
      <w:r w:rsidR="00D34441" w:rsidRPr="008A5776">
        <w:rPr>
          <w:rFonts w:cs="Times New Roman"/>
          <w:szCs w:val="24"/>
        </w:rPr>
        <w:t xml:space="preserve">apital and </w:t>
      </w:r>
      <w:r w:rsidR="00222280">
        <w:rPr>
          <w:rFonts w:cs="Times New Roman"/>
          <w:szCs w:val="24"/>
        </w:rPr>
        <w:t>p</w:t>
      </w:r>
      <w:r w:rsidR="00D34441" w:rsidRPr="008A5776">
        <w:rPr>
          <w:rFonts w:cs="Times New Roman"/>
          <w:szCs w:val="24"/>
        </w:rPr>
        <w:t xml:space="preserve">opulation </w:t>
      </w:r>
      <w:r w:rsidR="00222280">
        <w:rPr>
          <w:rFonts w:cs="Times New Roman"/>
          <w:szCs w:val="24"/>
        </w:rPr>
        <w:t>g</w:t>
      </w:r>
      <w:r w:rsidR="00D34441" w:rsidRPr="008A5776">
        <w:rPr>
          <w:rFonts w:cs="Times New Roman"/>
          <w:szCs w:val="24"/>
        </w:rPr>
        <w:t xml:space="preserve">rowth in </w:t>
      </w:r>
      <w:r w:rsidR="00222280">
        <w:rPr>
          <w:rFonts w:cs="Times New Roman"/>
          <w:szCs w:val="24"/>
        </w:rPr>
        <w:t>non-m</w:t>
      </w:r>
      <w:r w:rsidR="00D34441" w:rsidRPr="008A5776">
        <w:rPr>
          <w:rFonts w:cs="Times New Roman"/>
          <w:szCs w:val="24"/>
        </w:rPr>
        <w:t xml:space="preserve">etropolitan US </w:t>
      </w:r>
      <w:r w:rsidR="00222280">
        <w:rPr>
          <w:rFonts w:cs="Times New Roman"/>
          <w:szCs w:val="24"/>
        </w:rPr>
        <w:t>c</w:t>
      </w:r>
      <w:r w:rsidR="00D34441" w:rsidRPr="008A5776">
        <w:rPr>
          <w:rFonts w:cs="Times New Roman"/>
          <w:szCs w:val="24"/>
        </w:rPr>
        <w:t xml:space="preserve">ounties: </w:t>
      </w:r>
      <w:r w:rsidR="00222280">
        <w:rPr>
          <w:rFonts w:cs="Times New Roman"/>
          <w:szCs w:val="24"/>
        </w:rPr>
        <w:t>t</w:t>
      </w:r>
      <w:r w:rsidR="00D34441" w:rsidRPr="008A5776">
        <w:rPr>
          <w:rFonts w:cs="Times New Roman"/>
          <w:szCs w:val="24"/>
        </w:rPr>
        <w:t xml:space="preserve">he </w:t>
      </w:r>
      <w:r w:rsidR="00222280">
        <w:rPr>
          <w:rFonts w:cs="Times New Roman"/>
          <w:szCs w:val="24"/>
        </w:rPr>
        <w:t>i</w:t>
      </w:r>
      <w:r w:rsidR="00D34441" w:rsidRPr="008A5776">
        <w:rPr>
          <w:rFonts w:cs="Times New Roman"/>
          <w:szCs w:val="24"/>
        </w:rPr>
        <w:t xml:space="preserve">mportance of </w:t>
      </w:r>
      <w:r w:rsidR="00222280">
        <w:rPr>
          <w:rFonts w:cs="Times New Roman"/>
          <w:szCs w:val="24"/>
        </w:rPr>
        <w:t>c</w:t>
      </w:r>
      <w:r w:rsidR="00D34441" w:rsidRPr="008A5776">
        <w:rPr>
          <w:rFonts w:cs="Times New Roman"/>
          <w:szCs w:val="24"/>
        </w:rPr>
        <w:t xml:space="preserve">ollege </w:t>
      </w:r>
      <w:r w:rsidR="00222280">
        <w:rPr>
          <w:rFonts w:cs="Times New Roman"/>
          <w:szCs w:val="24"/>
        </w:rPr>
        <w:t>s</w:t>
      </w:r>
      <w:r w:rsidR="00D34441" w:rsidRPr="008A5776">
        <w:rPr>
          <w:rFonts w:cs="Times New Roman"/>
          <w:szCs w:val="24"/>
        </w:rPr>
        <w:t xml:space="preserve">tudent </w:t>
      </w:r>
      <w:r w:rsidR="00222280">
        <w:rPr>
          <w:rFonts w:cs="Times New Roman"/>
          <w:szCs w:val="24"/>
        </w:rPr>
        <w:t>m</w:t>
      </w:r>
      <w:r w:rsidR="00D34441" w:rsidRPr="008A5776">
        <w:rPr>
          <w:rFonts w:cs="Times New Roman"/>
          <w:szCs w:val="24"/>
        </w:rPr>
        <w:t>igration</w:t>
      </w:r>
      <w:r w:rsidR="00222280">
        <w:rPr>
          <w:rFonts w:cs="Times New Roman"/>
          <w:szCs w:val="24"/>
        </w:rPr>
        <w:t>.</w:t>
      </w:r>
      <w:r w:rsidR="00D34441" w:rsidRPr="008A5776">
        <w:rPr>
          <w:rFonts w:cs="Times New Roman"/>
          <w:szCs w:val="24"/>
        </w:rPr>
        <w:t xml:space="preserve"> </w:t>
      </w:r>
      <w:r w:rsidR="00AD4D1F" w:rsidRPr="008A5776">
        <w:rPr>
          <w:rFonts w:cs="Times New Roman"/>
          <w:szCs w:val="24"/>
        </w:rPr>
        <w:t>Economic Development Quarterly</w:t>
      </w:r>
      <w:r w:rsidR="00456FD2" w:rsidRPr="008A5776">
        <w:rPr>
          <w:rFonts w:cs="Times New Roman"/>
          <w:szCs w:val="24"/>
        </w:rPr>
        <w:t xml:space="preserve"> </w:t>
      </w:r>
      <w:r w:rsidR="00456FD2" w:rsidRPr="008A5776">
        <w:rPr>
          <w:rFonts w:cs="Times New Roman"/>
          <w:bCs/>
          <w:szCs w:val="24"/>
        </w:rPr>
        <w:t>25(4), 353-365.</w:t>
      </w:r>
    </w:p>
    <w:p w:rsidR="00A46D56" w:rsidRPr="008A5776" w:rsidRDefault="00A46D56" w:rsidP="00380B4A">
      <w:pPr>
        <w:spacing w:after="0"/>
        <w:ind w:left="720" w:hanging="720"/>
        <w:rPr>
          <w:rFonts w:cs="Times New Roman"/>
          <w:szCs w:val="24"/>
        </w:rPr>
      </w:pPr>
    </w:p>
    <w:p w:rsidR="00A31ACC" w:rsidRPr="008A5776" w:rsidRDefault="00222280" w:rsidP="00715864">
      <w:pPr>
        <w:autoSpaceDE w:val="0"/>
        <w:autoSpaceDN w:val="0"/>
        <w:adjustRightInd w:val="0"/>
        <w:spacing w:after="0"/>
        <w:ind w:left="720" w:hanging="720"/>
        <w:contextualSpacing w:val="0"/>
        <w:rPr>
          <w:rFonts w:cs="Times New Roman"/>
          <w:iCs/>
          <w:szCs w:val="24"/>
        </w:rPr>
      </w:pPr>
      <w:r>
        <w:rPr>
          <w:rFonts w:cs="Times New Roman"/>
          <w:szCs w:val="24"/>
        </w:rPr>
        <w:t>Wozniak, A</w:t>
      </w:r>
      <w:r w:rsidR="003576E1">
        <w:rPr>
          <w:rFonts w:cs="Times New Roman"/>
          <w:szCs w:val="24"/>
        </w:rPr>
        <w:t>.</w:t>
      </w:r>
      <w:r>
        <w:rPr>
          <w:rFonts w:cs="Times New Roman"/>
          <w:szCs w:val="24"/>
        </w:rPr>
        <w:t>,</w:t>
      </w:r>
      <w:r w:rsidR="00715864" w:rsidRPr="008A5776">
        <w:rPr>
          <w:rFonts w:cs="Times New Roman"/>
          <w:szCs w:val="24"/>
        </w:rPr>
        <w:t xml:space="preserve"> 2010. Are college graduates more responsive to distant labor market opportunities? </w:t>
      </w:r>
      <w:r w:rsidR="00715864" w:rsidRPr="008A5776">
        <w:rPr>
          <w:rFonts w:cs="Times New Roman"/>
          <w:iCs/>
          <w:szCs w:val="24"/>
        </w:rPr>
        <w:t>Journal of Human Resources 45(4)</w:t>
      </w:r>
      <w:r w:rsidR="00715864" w:rsidRPr="008A5776">
        <w:rPr>
          <w:rFonts w:cs="Times New Roman"/>
          <w:szCs w:val="24"/>
        </w:rPr>
        <w:t>, 944-970</w:t>
      </w:r>
      <w:r w:rsidR="00715864" w:rsidRPr="008A5776">
        <w:rPr>
          <w:rFonts w:cs="Times New Roman"/>
          <w:iCs/>
          <w:szCs w:val="24"/>
        </w:rPr>
        <w:t>.</w:t>
      </w:r>
    </w:p>
    <w:p w:rsidR="003029F5" w:rsidRPr="008A5776" w:rsidRDefault="003029F5" w:rsidP="00715864">
      <w:pPr>
        <w:autoSpaceDE w:val="0"/>
        <w:autoSpaceDN w:val="0"/>
        <w:adjustRightInd w:val="0"/>
        <w:spacing w:after="0"/>
        <w:ind w:left="720" w:hanging="720"/>
        <w:contextualSpacing w:val="0"/>
        <w:rPr>
          <w:rFonts w:cs="Times New Roman"/>
          <w:iCs/>
          <w:szCs w:val="24"/>
        </w:rPr>
      </w:pPr>
    </w:p>
    <w:p w:rsidR="003029F5" w:rsidRPr="008A5776" w:rsidRDefault="009C74C1" w:rsidP="00715864">
      <w:pPr>
        <w:autoSpaceDE w:val="0"/>
        <w:autoSpaceDN w:val="0"/>
        <w:adjustRightInd w:val="0"/>
        <w:spacing w:after="0"/>
        <w:ind w:left="720" w:hanging="720"/>
        <w:contextualSpacing w:val="0"/>
        <w:rPr>
          <w:rFonts w:cs="Times New Roman"/>
          <w:iCs/>
          <w:szCs w:val="24"/>
        </w:rPr>
      </w:pPr>
      <w:r w:rsidRPr="008A5776">
        <w:rPr>
          <w:rFonts w:cs="Times New Roman"/>
          <w:iCs/>
          <w:szCs w:val="24"/>
        </w:rPr>
        <w:t xml:space="preserve">Zhang, </w:t>
      </w:r>
      <w:r w:rsidR="003029F5" w:rsidRPr="008A5776">
        <w:rPr>
          <w:rFonts w:cs="Times New Roman"/>
          <w:iCs/>
          <w:szCs w:val="24"/>
        </w:rPr>
        <w:t>L</w:t>
      </w:r>
      <w:r w:rsidR="003576E1">
        <w:rPr>
          <w:rFonts w:cs="Times New Roman"/>
          <w:iCs/>
          <w:szCs w:val="24"/>
        </w:rPr>
        <w:t>.</w:t>
      </w:r>
      <w:r w:rsidR="00222280">
        <w:rPr>
          <w:rFonts w:cs="Times New Roman"/>
          <w:iCs/>
          <w:szCs w:val="24"/>
        </w:rPr>
        <w:t>,</w:t>
      </w:r>
      <w:r w:rsidR="003029F5" w:rsidRPr="008A5776">
        <w:rPr>
          <w:rFonts w:cs="Times New Roman"/>
          <w:iCs/>
          <w:szCs w:val="24"/>
        </w:rPr>
        <w:t xml:space="preserve"> 2009. Does </w:t>
      </w:r>
      <w:r w:rsidR="00222280">
        <w:rPr>
          <w:rFonts w:cs="Times New Roman"/>
          <w:iCs/>
          <w:szCs w:val="24"/>
        </w:rPr>
        <w:t>s</w:t>
      </w:r>
      <w:r w:rsidR="003029F5" w:rsidRPr="008A5776">
        <w:rPr>
          <w:rFonts w:cs="Times New Roman"/>
          <w:iCs/>
          <w:szCs w:val="24"/>
        </w:rPr>
        <w:t xml:space="preserve">tate </w:t>
      </w:r>
      <w:r w:rsidR="00222280">
        <w:rPr>
          <w:rFonts w:cs="Times New Roman"/>
          <w:iCs/>
          <w:szCs w:val="24"/>
        </w:rPr>
        <w:t>f</w:t>
      </w:r>
      <w:r w:rsidR="003029F5" w:rsidRPr="008A5776">
        <w:rPr>
          <w:rFonts w:cs="Times New Roman"/>
          <w:iCs/>
          <w:szCs w:val="24"/>
        </w:rPr>
        <w:t xml:space="preserve">unding </w:t>
      </w:r>
      <w:r w:rsidR="00222280">
        <w:rPr>
          <w:rFonts w:cs="Times New Roman"/>
          <w:iCs/>
          <w:szCs w:val="24"/>
        </w:rPr>
        <w:t>a</w:t>
      </w:r>
      <w:r w:rsidR="003029F5" w:rsidRPr="008A5776">
        <w:rPr>
          <w:rFonts w:cs="Times New Roman"/>
          <w:iCs/>
          <w:szCs w:val="24"/>
        </w:rPr>
        <w:t xml:space="preserve">ffect </w:t>
      </w:r>
      <w:r w:rsidR="00222280">
        <w:rPr>
          <w:rFonts w:cs="Times New Roman"/>
          <w:iCs/>
          <w:szCs w:val="24"/>
        </w:rPr>
        <w:t>g</w:t>
      </w:r>
      <w:r w:rsidR="003029F5" w:rsidRPr="008A5776">
        <w:rPr>
          <w:rFonts w:cs="Times New Roman"/>
          <w:iCs/>
          <w:szCs w:val="24"/>
        </w:rPr>
        <w:t xml:space="preserve">raduation </w:t>
      </w:r>
      <w:r w:rsidR="00222280">
        <w:rPr>
          <w:rFonts w:cs="Times New Roman"/>
          <w:iCs/>
          <w:szCs w:val="24"/>
        </w:rPr>
        <w:t>r</w:t>
      </w:r>
      <w:r w:rsidR="003029F5" w:rsidRPr="008A5776">
        <w:rPr>
          <w:rFonts w:cs="Times New Roman"/>
          <w:iCs/>
          <w:szCs w:val="24"/>
        </w:rPr>
        <w:t xml:space="preserve">ates at </w:t>
      </w:r>
      <w:r w:rsidR="00222280">
        <w:rPr>
          <w:rFonts w:cs="Times New Roman"/>
          <w:iCs/>
          <w:szCs w:val="24"/>
        </w:rPr>
        <w:t>p</w:t>
      </w:r>
      <w:r w:rsidR="003029F5" w:rsidRPr="008A5776">
        <w:rPr>
          <w:rFonts w:cs="Times New Roman"/>
          <w:iCs/>
          <w:szCs w:val="24"/>
        </w:rPr>
        <w:t xml:space="preserve">ublic </w:t>
      </w:r>
      <w:r w:rsidR="00222280">
        <w:rPr>
          <w:rFonts w:cs="Times New Roman"/>
          <w:iCs/>
          <w:szCs w:val="24"/>
        </w:rPr>
        <w:t>four-y</w:t>
      </w:r>
      <w:r w:rsidR="003029F5" w:rsidRPr="008A5776">
        <w:rPr>
          <w:rFonts w:cs="Times New Roman"/>
          <w:iCs/>
          <w:szCs w:val="24"/>
        </w:rPr>
        <w:t xml:space="preserve">ear </w:t>
      </w:r>
      <w:r w:rsidR="00222280">
        <w:rPr>
          <w:rFonts w:cs="Times New Roman"/>
          <w:iCs/>
          <w:szCs w:val="24"/>
        </w:rPr>
        <w:t>c</w:t>
      </w:r>
      <w:r w:rsidR="003029F5" w:rsidRPr="008A5776">
        <w:rPr>
          <w:rFonts w:cs="Times New Roman"/>
          <w:iCs/>
          <w:szCs w:val="24"/>
        </w:rPr>
        <w:t xml:space="preserve">olleges and </w:t>
      </w:r>
      <w:r w:rsidR="00222280">
        <w:rPr>
          <w:rFonts w:cs="Times New Roman"/>
          <w:iCs/>
          <w:szCs w:val="24"/>
        </w:rPr>
        <w:t>u</w:t>
      </w:r>
      <w:r w:rsidR="003029F5" w:rsidRPr="008A5776">
        <w:rPr>
          <w:rFonts w:cs="Times New Roman"/>
          <w:iCs/>
          <w:szCs w:val="24"/>
        </w:rPr>
        <w:t xml:space="preserve">niversities? </w:t>
      </w:r>
      <w:r w:rsidRPr="008A5776">
        <w:rPr>
          <w:rFonts w:cs="Times New Roman"/>
          <w:iCs/>
          <w:szCs w:val="24"/>
        </w:rPr>
        <w:t>Educational Policy</w:t>
      </w:r>
      <w:r w:rsidR="00121535" w:rsidRPr="008A5776">
        <w:rPr>
          <w:rFonts w:cs="Times New Roman"/>
          <w:iCs/>
          <w:szCs w:val="24"/>
        </w:rPr>
        <w:t xml:space="preserve"> 23(5):</w:t>
      </w:r>
      <w:r w:rsidR="003029F5" w:rsidRPr="008A5776">
        <w:rPr>
          <w:rFonts w:cs="Times New Roman"/>
          <w:iCs/>
          <w:szCs w:val="24"/>
        </w:rPr>
        <w:t xml:space="preserve"> 714-731.</w:t>
      </w:r>
    </w:p>
    <w:p w:rsidR="00282A0A" w:rsidRPr="008A5776" w:rsidRDefault="00282A0A" w:rsidP="00715864">
      <w:pPr>
        <w:autoSpaceDE w:val="0"/>
        <w:autoSpaceDN w:val="0"/>
        <w:adjustRightInd w:val="0"/>
        <w:spacing w:after="0"/>
        <w:ind w:left="720" w:hanging="720"/>
        <w:contextualSpacing w:val="0"/>
        <w:rPr>
          <w:rFonts w:cs="Times New Roman"/>
          <w:iCs/>
          <w:szCs w:val="24"/>
        </w:rPr>
      </w:pPr>
    </w:p>
    <w:p w:rsidR="00282A0A" w:rsidRPr="008A5776" w:rsidRDefault="00222280" w:rsidP="00715864">
      <w:pPr>
        <w:autoSpaceDE w:val="0"/>
        <w:autoSpaceDN w:val="0"/>
        <w:adjustRightInd w:val="0"/>
        <w:spacing w:after="0"/>
        <w:ind w:left="720" w:hanging="720"/>
        <w:contextualSpacing w:val="0"/>
        <w:rPr>
          <w:rFonts w:cs="Times New Roman"/>
          <w:iCs/>
          <w:szCs w:val="24"/>
        </w:rPr>
      </w:pPr>
      <w:r>
        <w:rPr>
          <w:rFonts w:cs="Times New Roman"/>
          <w:iCs/>
          <w:szCs w:val="24"/>
        </w:rPr>
        <w:t>Zhang, L</w:t>
      </w:r>
      <w:r w:rsidR="003576E1">
        <w:rPr>
          <w:rFonts w:cs="Times New Roman"/>
          <w:iCs/>
          <w:szCs w:val="24"/>
        </w:rPr>
        <w:t>.</w:t>
      </w:r>
      <w:r>
        <w:rPr>
          <w:rFonts w:cs="Times New Roman"/>
          <w:iCs/>
          <w:szCs w:val="24"/>
        </w:rPr>
        <w:t>, Ness,</w:t>
      </w:r>
      <w:r w:rsidR="003576E1">
        <w:rPr>
          <w:rFonts w:cs="Times New Roman"/>
          <w:iCs/>
          <w:szCs w:val="24"/>
        </w:rPr>
        <w:t xml:space="preserve"> E.C.,</w:t>
      </w:r>
      <w:r w:rsidR="00282A0A" w:rsidRPr="008A5776">
        <w:rPr>
          <w:rFonts w:cs="Times New Roman"/>
          <w:iCs/>
          <w:szCs w:val="24"/>
        </w:rPr>
        <w:t xml:space="preserve"> 2010. </w:t>
      </w:r>
      <w:r>
        <w:rPr>
          <w:rFonts w:cs="Times New Roman"/>
          <w:bCs/>
          <w:szCs w:val="24"/>
        </w:rPr>
        <w:t>Does s</w:t>
      </w:r>
      <w:r w:rsidR="00282A0A" w:rsidRPr="008A5776">
        <w:rPr>
          <w:rFonts w:cs="Times New Roman"/>
          <w:bCs/>
          <w:szCs w:val="24"/>
        </w:rPr>
        <w:t xml:space="preserve">tate </w:t>
      </w:r>
      <w:r>
        <w:rPr>
          <w:rFonts w:cs="Times New Roman"/>
          <w:bCs/>
          <w:szCs w:val="24"/>
        </w:rPr>
        <w:t>m</w:t>
      </w:r>
      <w:r w:rsidR="00282A0A" w:rsidRPr="008A5776">
        <w:rPr>
          <w:rFonts w:cs="Times New Roman"/>
          <w:bCs/>
          <w:szCs w:val="24"/>
        </w:rPr>
        <w:t>erit-</w:t>
      </w:r>
      <w:r>
        <w:rPr>
          <w:rFonts w:cs="Times New Roman"/>
          <w:bCs/>
          <w:szCs w:val="24"/>
        </w:rPr>
        <w:t>b</w:t>
      </w:r>
      <w:r w:rsidR="00282A0A" w:rsidRPr="008A5776">
        <w:rPr>
          <w:rFonts w:cs="Times New Roman"/>
          <w:bCs/>
          <w:szCs w:val="24"/>
        </w:rPr>
        <w:t xml:space="preserve">ased </w:t>
      </w:r>
      <w:r>
        <w:rPr>
          <w:rFonts w:cs="Times New Roman"/>
          <w:bCs/>
          <w:szCs w:val="24"/>
        </w:rPr>
        <w:t>a</w:t>
      </w:r>
      <w:r w:rsidR="00282A0A" w:rsidRPr="008A5776">
        <w:rPr>
          <w:rFonts w:cs="Times New Roman"/>
          <w:bCs/>
          <w:szCs w:val="24"/>
        </w:rPr>
        <w:t xml:space="preserve">id </w:t>
      </w:r>
      <w:r>
        <w:rPr>
          <w:rFonts w:cs="Times New Roman"/>
          <w:bCs/>
          <w:szCs w:val="24"/>
        </w:rPr>
        <w:t>s</w:t>
      </w:r>
      <w:r w:rsidR="00282A0A" w:rsidRPr="008A5776">
        <w:rPr>
          <w:rFonts w:cs="Times New Roman"/>
          <w:bCs/>
          <w:szCs w:val="24"/>
        </w:rPr>
        <w:t xml:space="preserve">tem </w:t>
      </w:r>
      <w:r>
        <w:rPr>
          <w:rFonts w:cs="Times New Roman"/>
          <w:bCs/>
          <w:szCs w:val="24"/>
        </w:rPr>
        <w:t>b</w:t>
      </w:r>
      <w:r w:rsidR="00282A0A" w:rsidRPr="008A5776">
        <w:rPr>
          <w:rFonts w:cs="Times New Roman"/>
          <w:bCs/>
          <w:szCs w:val="24"/>
        </w:rPr>
        <w:t xml:space="preserve">rain </w:t>
      </w:r>
      <w:r>
        <w:rPr>
          <w:rFonts w:cs="Times New Roman"/>
          <w:bCs/>
          <w:szCs w:val="24"/>
        </w:rPr>
        <w:t>d</w:t>
      </w:r>
      <w:r w:rsidR="00282A0A" w:rsidRPr="008A5776">
        <w:rPr>
          <w:rFonts w:cs="Times New Roman"/>
          <w:bCs/>
          <w:szCs w:val="24"/>
        </w:rPr>
        <w:t>rain? Educational Evaluation and Policy Analysis 32(2): 143-165.</w:t>
      </w:r>
    </w:p>
    <w:p w:rsidR="00282A0A" w:rsidRDefault="00282A0A">
      <w:pPr>
        <w:spacing w:line="276" w:lineRule="auto"/>
        <w:contextualSpacing w:val="0"/>
        <w:rPr>
          <w:rFonts w:cs="Times New Roman"/>
          <w:i/>
          <w:iCs/>
          <w:szCs w:val="24"/>
        </w:rPr>
      </w:pPr>
    </w:p>
    <w:p w:rsidR="00A31ACC" w:rsidRDefault="00A31ACC">
      <w:pPr>
        <w:spacing w:line="276" w:lineRule="auto"/>
        <w:contextualSpacing w:val="0"/>
        <w:rPr>
          <w:rFonts w:cs="Times New Roman"/>
          <w:i/>
          <w:iCs/>
          <w:szCs w:val="24"/>
        </w:rPr>
      </w:pPr>
      <w:r>
        <w:rPr>
          <w:rFonts w:cs="Times New Roman"/>
          <w:i/>
          <w:iCs/>
          <w:szCs w:val="24"/>
        </w:rPr>
        <w:br w:type="page"/>
      </w:r>
    </w:p>
    <w:tbl>
      <w:tblPr>
        <w:tblW w:w="9390" w:type="dxa"/>
        <w:tblInd w:w="93" w:type="dxa"/>
        <w:tblLook w:val="04A0" w:firstRow="1" w:lastRow="0" w:firstColumn="1" w:lastColumn="0" w:noHBand="0" w:noVBand="1"/>
      </w:tblPr>
      <w:tblGrid>
        <w:gridCol w:w="4598"/>
        <w:gridCol w:w="1749"/>
        <w:gridCol w:w="1749"/>
        <w:gridCol w:w="1294"/>
      </w:tblGrid>
      <w:tr w:rsidR="00BB544D" w:rsidRPr="00BB544D" w:rsidTr="00BB544D">
        <w:trPr>
          <w:trHeight w:val="315"/>
        </w:trPr>
        <w:tc>
          <w:tcPr>
            <w:tcW w:w="8096" w:type="dxa"/>
            <w:gridSpan w:val="3"/>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lastRenderedPageBreak/>
              <w:t>Table 1: Means of Selected Variables for Recent Georgia High School Graduates</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p>
        </w:tc>
      </w:tr>
      <w:tr w:rsidR="00BB544D" w:rsidRPr="00BB544D" w:rsidTr="00BB544D">
        <w:trPr>
          <w:trHeight w:val="315"/>
        </w:trPr>
        <w:tc>
          <w:tcPr>
            <w:tcW w:w="4598" w:type="dxa"/>
            <w:tcBorders>
              <w:top w:val="single" w:sz="4" w:space="0" w:color="auto"/>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 </w:t>
            </w:r>
          </w:p>
        </w:tc>
        <w:tc>
          <w:tcPr>
            <w:tcW w:w="1749" w:type="dxa"/>
            <w:tcBorders>
              <w:top w:val="single" w:sz="4" w:space="0" w:color="auto"/>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1995-1996</w:t>
            </w:r>
          </w:p>
        </w:tc>
        <w:tc>
          <w:tcPr>
            <w:tcW w:w="1749" w:type="dxa"/>
            <w:tcBorders>
              <w:top w:val="single" w:sz="4" w:space="0" w:color="auto"/>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1990-1991</w:t>
            </w:r>
          </w:p>
        </w:tc>
        <w:tc>
          <w:tcPr>
            <w:tcW w:w="1294" w:type="dxa"/>
            <w:tcBorders>
              <w:top w:val="single" w:sz="4" w:space="0" w:color="auto"/>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Difference</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High School GPA</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2.866</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2.671</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0.195</w:t>
            </w:r>
            <w:r w:rsidR="00A505F5">
              <w:rPr>
                <w:rFonts w:eastAsia="Times New Roman" w:cs="Times New Roman"/>
                <w:color w:val="000000"/>
                <w:szCs w:val="24"/>
              </w:rPr>
              <w:t>***</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SAT (Verbal + Math)</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982.5</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960.1</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22.4</w:t>
            </w:r>
            <w:r w:rsidR="00A505F5">
              <w:rPr>
                <w:rFonts w:eastAsia="Times New Roman" w:cs="Times New Roman"/>
                <w:color w:val="000000"/>
                <w:szCs w:val="24"/>
              </w:rPr>
              <w:t>***</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HOPE Scholarship Recipient</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0.700</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N/A</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N/A</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Female</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0.563</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0.537</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0.026</w:t>
            </w:r>
            <w:r w:rsidR="00A505F5">
              <w:rPr>
                <w:rFonts w:eastAsia="Times New Roman" w:cs="Times New Roman"/>
                <w:color w:val="000000"/>
                <w:szCs w:val="24"/>
              </w:rPr>
              <w:t>***</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Black</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0.250</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0.207</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0.043</w:t>
            </w:r>
            <w:r w:rsidR="00A505F5">
              <w:rPr>
                <w:rFonts w:eastAsia="Times New Roman" w:cs="Times New Roman"/>
                <w:color w:val="000000"/>
                <w:szCs w:val="24"/>
              </w:rPr>
              <w:t>***</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Hispanic</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0.013</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0.008</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0.005</w:t>
            </w:r>
            <w:r w:rsidR="00A505F5">
              <w:rPr>
                <w:rFonts w:eastAsia="Times New Roman" w:cs="Times New Roman"/>
                <w:color w:val="000000"/>
                <w:szCs w:val="24"/>
              </w:rPr>
              <w:t>***</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Asian</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0.024</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0.020</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0.004</w:t>
            </w:r>
            <w:r w:rsidR="00A505F5">
              <w:rPr>
                <w:rFonts w:eastAsia="Times New Roman" w:cs="Times New Roman"/>
                <w:color w:val="000000"/>
                <w:szCs w:val="24"/>
              </w:rPr>
              <w:t>***</w:t>
            </w:r>
          </w:p>
        </w:tc>
      </w:tr>
      <w:tr w:rsidR="00BB544D" w:rsidRPr="00BB544D" w:rsidTr="00BB544D">
        <w:trPr>
          <w:trHeight w:val="315"/>
        </w:trPr>
        <w:tc>
          <w:tcPr>
            <w:tcW w:w="4598"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Native American</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0.002</w:t>
            </w:r>
          </w:p>
        </w:tc>
        <w:tc>
          <w:tcPr>
            <w:tcW w:w="1749"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0.002</w:t>
            </w:r>
          </w:p>
        </w:tc>
        <w:tc>
          <w:tcPr>
            <w:tcW w:w="1294" w:type="dxa"/>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0.000</w:t>
            </w:r>
          </w:p>
        </w:tc>
      </w:tr>
      <w:tr w:rsidR="00BB544D" w:rsidRPr="00BB544D" w:rsidTr="00BB544D">
        <w:trPr>
          <w:trHeight w:val="315"/>
        </w:trPr>
        <w:tc>
          <w:tcPr>
            <w:tcW w:w="4598" w:type="dxa"/>
            <w:tcBorders>
              <w:top w:val="nil"/>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Number of Observations</w:t>
            </w:r>
          </w:p>
        </w:tc>
        <w:tc>
          <w:tcPr>
            <w:tcW w:w="1749" w:type="dxa"/>
            <w:tcBorders>
              <w:top w:val="nil"/>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49,741</w:t>
            </w:r>
          </w:p>
        </w:tc>
        <w:tc>
          <w:tcPr>
            <w:tcW w:w="1749" w:type="dxa"/>
            <w:tcBorders>
              <w:top w:val="nil"/>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43,642</w:t>
            </w:r>
          </w:p>
        </w:tc>
        <w:tc>
          <w:tcPr>
            <w:tcW w:w="1294" w:type="dxa"/>
            <w:tcBorders>
              <w:top w:val="nil"/>
              <w:left w:val="nil"/>
              <w:bottom w:val="single" w:sz="4" w:space="0" w:color="auto"/>
              <w:right w:val="nil"/>
            </w:tcBorders>
            <w:shd w:val="clear" w:color="auto" w:fill="auto"/>
            <w:noWrap/>
            <w:vAlign w:val="bottom"/>
            <w:hideMark/>
          </w:tcPr>
          <w:p w:rsidR="00BB544D" w:rsidRPr="00BB544D" w:rsidRDefault="00BB544D" w:rsidP="00BB544D">
            <w:pPr>
              <w:spacing w:after="0"/>
              <w:contextualSpacing w:val="0"/>
              <w:jc w:val="center"/>
              <w:rPr>
                <w:rFonts w:eastAsia="Times New Roman" w:cs="Times New Roman"/>
                <w:color w:val="000000"/>
                <w:szCs w:val="24"/>
              </w:rPr>
            </w:pPr>
            <w:r w:rsidRPr="00BB544D">
              <w:rPr>
                <w:rFonts w:eastAsia="Times New Roman" w:cs="Times New Roman"/>
                <w:color w:val="000000"/>
                <w:szCs w:val="24"/>
              </w:rPr>
              <w:t>6,099</w:t>
            </w:r>
          </w:p>
        </w:tc>
      </w:tr>
      <w:tr w:rsidR="00BB544D" w:rsidRPr="00BB544D" w:rsidTr="00BB544D">
        <w:trPr>
          <w:trHeight w:val="315"/>
        </w:trPr>
        <w:tc>
          <w:tcPr>
            <w:tcW w:w="9390" w:type="dxa"/>
            <w:gridSpan w:val="4"/>
            <w:tcBorders>
              <w:top w:val="nil"/>
              <w:left w:val="nil"/>
              <w:bottom w:val="nil"/>
              <w:right w:val="nil"/>
            </w:tcBorders>
            <w:shd w:val="clear" w:color="auto" w:fill="auto"/>
            <w:noWrap/>
            <w:vAlign w:val="bottom"/>
            <w:hideMark/>
          </w:tcPr>
          <w:p w:rsidR="00BB544D" w:rsidRPr="00BB544D" w:rsidRDefault="00BB544D" w:rsidP="00BB544D">
            <w:pPr>
              <w:spacing w:after="0"/>
              <w:contextualSpacing w:val="0"/>
              <w:rPr>
                <w:rFonts w:eastAsia="Times New Roman" w:cs="Times New Roman"/>
                <w:color w:val="000000"/>
                <w:szCs w:val="24"/>
              </w:rPr>
            </w:pPr>
            <w:r w:rsidRPr="00BB544D">
              <w:rPr>
                <w:rFonts w:eastAsia="Times New Roman" w:cs="Times New Roman"/>
                <w:color w:val="000000"/>
                <w:szCs w:val="24"/>
              </w:rPr>
              <w:t>Notes: Recent Georgia High School Graduates refers to students who graduate high school and begin enrollment in the University System of Georgia during the same year</w:t>
            </w:r>
            <w:r w:rsidR="005046C9">
              <w:rPr>
                <w:rFonts w:eastAsia="Times New Roman" w:cs="Times New Roman"/>
                <w:color w:val="000000"/>
                <w:szCs w:val="24"/>
              </w:rPr>
              <w:t xml:space="preserve">. </w:t>
            </w:r>
            <w:r w:rsidRPr="00BB544D">
              <w:rPr>
                <w:rFonts w:eastAsia="Times New Roman" w:cs="Times New Roman"/>
                <w:color w:val="000000"/>
                <w:szCs w:val="24"/>
              </w:rPr>
              <w:t>HOPE Receipt is measured at matriculation</w:t>
            </w:r>
            <w:r w:rsidR="005046C9">
              <w:rPr>
                <w:rFonts w:eastAsia="Times New Roman" w:cs="Times New Roman"/>
                <w:color w:val="000000"/>
                <w:szCs w:val="24"/>
              </w:rPr>
              <w:t xml:space="preserve">. </w:t>
            </w:r>
            <w:r w:rsidRPr="00BB544D">
              <w:rPr>
                <w:rFonts w:eastAsia="Times New Roman" w:cs="Times New Roman"/>
                <w:color w:val="000000"/>
                <w:szCs w:val="24"/>
              </w:rPr>
              <w:t>High School GPA is missing for 660 observations in 1995-1996 and 296 observations in 1990-1991</w:t>
            </w:r>
            <w:r w:rsidR="005046C9">
              <w:rPr>
                <w:rFonts w:eastAsia="Times New Roman" w:cs="Times New Roman"/>
                <w:color w:val="000000"/>
                <w:szCs w:val="24"/>
              </w:rPr>
              <w:t xml:space="preserve">. </w:t>
            </w:r>
            <w:r w:rsidRPr="00BB544D">
              <w:rPr>
                <w:rFonts w:eastAsia="Times New Roman" w:cs="Times New Roman"/>
                <w:color w:val="000000"/>
                <w:szCs w:val="24"/>
              </w:rPr>
              <w:t>SAT is missing for 2934 observations in 1995-1996 and 1851 observations in 1990-1991.</w:t>
            </w:r>
          </w:p>
        </w:tc>
      </w:tr>
      <w:tr w:rsidR="00BB544D" w:rsidRPr="00BB544D" w:rsidTr="00BB544D">
        <w:trPr>
          <w:trHeight w:val="315"/>
        </w:trPr>
        <w:tc>
          <w:tcPr>
            <w:tcW w:w="9390" w:type="dxa"/>
            <w:gridSpan w:val="4"/>
            <w:tcBorders>
              <w:top w:val="nil"/>
              <w:left w:val="nil"/>
              <w:bottom w:val="nil"/>
              <w:right w:val="nil"/>
            </w:tcBorders>
            <w:shd w:val="clear" w:color="auto" w:fill="auto"/>
            <w:noWrap/>
            <w:vAlign w:val="bottom"/>
            <w:hideMark/>
          </w:tcPr>
          <w:p w:rsidR="00BB544D" w:rsidRPr="00BB544D" w:rsidRDefault="00A505F5" w:rsidP="00BB544D">
            <w:pPr>
              <w:spacing w:after="0"/>
              <w:contextualSpacing w:val="0"/>
              <w:rPr>
                <w:rFonts w:eastAsia="Times New Roman" w:cs="Times New Roman"/>
                <w:color w:val="000000"/>
                <w:szCs w:val="24"/>
              </w:rPr>
            </w:pPr>
            <w:r w:rsidRPr="00A505F5">
              <w:rPr>
                <w:rFonts w:eastAsia="Times New Roman" w:cs="Times New Roman"/>
                <w:color w:val="000000"/>
                <w:szCs w:val="24"/>
              </w:rPr>
              <w:t>*** Significant at 1%.</w:t>
            </w:r>
          </w:p>
        </w:tc>
      </w:tr>
    </w:tbl>
    <w:p w:rsidR="00BB544D" w:rsidRDefault="00BB544D">
      <w:pPr>
        <w:spacing w:line="276" w:lineRule="auto"/>
        <w:contextualSpacing w:val="0"/>
        <w:rPr>
          <w:rFonts w:cs="Times New Roman"/>
          <w:szCs w:val="24"/>
        </w:rPr>
      </w:pPr>
    </w:p>
    <w:p w:rsidR="00897042" w:rsidRDefault="00897042">
      <w:r>
        <w:br w:type="page"/>
      </w:r>
    </w:p>
    <w:tbl>
      <w:tblPr>
        <w:tblW w:w="9220" w:type="dxa"/>
        <w:tblInd w:w="93" w:type="dxa"/>
        <w:tblLook w:val="04A0" w:firstRow="1" w:lastRow="0" w:firstColumn="1" w:lastColumn="0" w:noHBand="0" w:noVBand="1"/>
      </w:tblPr>
      <w:tblGrid>
        <w:gridCol w:w="1999"/>
        <w:gridCol w:w="768"/>
        <w:gridCol w:w="693"/>
        <w:gridCol w:w="875"/>
        <w:gridCol w:w="586"/>
        <w:gridCol w:w="861"/>
        <w:gridCol w:w="173"/>
        <w:gridCol w:w="630"/>
        <w:gridCol w:w="1440"/>
        <w:gridCol w:w="90"/>
        <w:gridCol w:w="90"/>
        <w:gridCol w:w="1015"/>
      </w:tblGrid>
      <w:tr w:rsidR="00A505F5" w:rsidRPr="00A505F5" w:rsidTr="006D190A">
        <w:trPr>
          <w:trHeight w:val="315"/>
        </w:trPr>
        <w:tc>
          <w:tcPr>
            <w:tcW w:w="9220" w:type="dxa"/>
            <w:gridSpan w:val="12"/>
            <w:tcBorders>
              <w:top w:val="nil"/>
              <w:left w:val="nil"/>
              <w:bottom w:val="nil"/>
              <w:right w:val="nil"/>
            </w:tcBorders>
            <w:shd w:val="clear" w:color="auto" w:fill="auto"/>
            <w:noWrap/>
            <w:vAlign w:val="bottom"/>
            <w:hideMark/>
          </w:tcPr>
          <w:p w:rsidR="006A4967" w:rsidRDefault="00A505F5">
            <w:pPr>
              <w:spacing w:after="0"/>
              <w:contextualSpacing w:val="0"/>
              <w:rPr>
                <w:rFonts w:eastAsia="Times New Roman" w:cs="Times New Roman"/>
                <w:color w:val="000000"/>
                <w:szCs w:val="24"/>
              </w:rPr>
            </w:pPr>
            <w:r>
              <w:rPr>
                <w:rFonts w:eastAsia="Times New Roman" w:cs="Times New Roman"/>
                <w:color w:val="000000"/>
                <w:szCs w:val="24"/>
              </w:rPr>
              <w:lastRenderedPageBreak/>
              <w:t xml:space="preserve">Table </w:t>
            </w:r>
            <w:r w:rsidR="00F23526">
              <w:rPr>
                <w:rFonts w:eastAsia="Times New Roman" w:cs="Times New Roman"/>
                <w:color w:val="000000"/>
                <w:szCs w:val="24"/>
              </w:rPr>
              <w:t>2a</w:t>
            </w:r>
            <w:r>
              <w:rPr>
                <w:rFonts w:eastAsia="Times New Roman" w:cs="Times New Roman"/>
                <w:color w:val="000000"/>
                <w:szCs w:val="24"/>
              </w:rPr>
              <w:t xml:space="preserve">: Share of USG Enrollees </w:t>
            </w:r>
            <w:r w:rsidRPr="00A505F5">
              <w:rPr>
                <w:rFonts w:eastAsia="Times New Roman" w:cs="Times New Roman"/>
                <w:color w:val="000000"/>
                <w:szCs w:val="24"/>
              </w:rPr>
              <w:t>Employed in Georgia Years after High School</w:t>
            </w:r>
          </w:p>
        </w:tc>
      </w:tr>
      <w:tr w:rsidR="00815CCC" w:rsidRPr="00A505F5" w:rsidTr="004D39D9">
        <w:trPr>
          <w:gridAfter w:val="3"/>
          <w:wAfter w:w="1195" w:type="dxa"/>
          <w:trHeight w:val="315"/>
        </w:trPr>
        <w:tc>
          <w:tcPr>
            <w:tcW w:w="2767" w:type="dxa"/>
            <w:gridSpan w:val="2"/>
            <w:tcBorders>
              <w:top w:val="single" w:sz="4" w:space="0" w:color="auto"/>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 </w:t>
            </w:r>
          </w:p>
        </w:tc>
        <w:tc>
          <w:tcPr>
            <w:tcW w:w="1568" w:type="dxa"/>
            <w:gridSpan w:val="2"/>
            <w:tcBorders>
              <w:top w:val="single" w:sz="4" w:space="0" w:color="auto"/>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1995-1996</w:t>
            </w:r>
          </w:p>
        </w:tc>
        <w:tc>
          <w:tcPr>
            <w:tcW w:w="1620" w:type="dxa"/>
            <w:gridSpan w:val="3"/>
            <w:tcBorders>
              <w:top w:val="single" w:sz="4" w:space="0" w:color="auto"/>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1990-1991</w:t>
            </w:r>
          </w:p>
        </w:tc>
        <w:tc>
          <w:tcPr>
            <w:tcW w:w="2070" w:type="dxa"/>
            <w:gridSpan w:val="2"/>
            <w:tcBorders>
              <w:top w:val="single" w:sz="4" w:space="0" w:color="auto"/>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Difference</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Four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0.817</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0.818</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0.000</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Five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0.805</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0.818</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-0.013</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Six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0.784</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0.805</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-0.022</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Seven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0.762</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0.792</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-0.030</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Eight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0.742</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0.775</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-0.033</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Nine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0.729</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0.759</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-0.031</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Ten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0.716</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0.736</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-0.020</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Eleven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0.702</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0.712</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-0.009</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Twelve Years after HS</w:t>
            </w: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0.689</w:t>
            </w: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0.693</w:t>
            </w: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537686">
            <w:pPr>
              <w:spacing w:after="0"/>
              <w:contextualSpacing w:val="0"/>
              <w:jc w:val="center"/>
              <w:rPr>
                <w:rFonts w:eastAsia="Times New Roman" w:cs="Times New Roman"/>
                <w:color w:val="000000"/>
                <w:szCs w:val="24"/>
              </w:rPr>
            </w:pPr>
            <w:r w:rsidRPr="00A505F5">
              <w:rPr>
                <w:rFonts w:eastAsia="Times New Roman" w:cs="Times New Roman"/>
                <w:color w:val="000000"/>
                <w:szCs w:val="24"/>
              </w:rPr>
              <w:t>-0.005</w:t>
            </w:r>
          </w:p>
        </w:tc>
      </w:tr>
      <w:tr w:rsidR="00815CCC" w:rsidRPr="00A505F5" w:rsidTr="004D39D9">
        <w:trPr>
          <w:gridAfter w:val="3"/>
          <w:wAfter w:w="1195" w:type="dxa"/>
          <w:trHeight w:val="315"/>
        </w:trPr>
        <w:tc>
          <w:tcPr>
            <w:tcW w:w="2767" w:type="dxa"/>
            <w:gridSpan w:val="2"/>
            <w:tcBorders>
              <w:top w:val="nil"/>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r w:rsidRPr="00A505F5">
              <w:rPr>
                <w:rFonts w:eastAsia="Times New Roman" w:cs="Times New Roman"/>
                <w:color w:val="000000"/>
                <w:szCs w:val="24"/>
              </w:rPr>
              <w:t>Multi-year mean</w:t>
            </w:r>
          </w:p>
        </w:tc>
        <w:tc>
          <w:tcPr>
            <w:tcW w:w="1568" w:type="dxa"/>
            <w:gridSpan w:val="2"/>
            <w:tcBorders>
              <w:top w:val="nil"/>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 </w:t>
            </w:r>
          </w:p>
        </w:tc>
        <w:tc>
          <w:tcPr>
            <w:tcW w:w="1620" w:type="dxa"/>
            <w:gridSpan w:val="3"/>
            <w:tcBorders>
              <w:top w:val="nil"/>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 </w:t>
            </w:r>
          </w:p>
        </w:tc>
        <w:tc>
          <w:tcPr>
            <w:tcW w:w="2070" w:type="dxa"/>
            <w:gridSpan w:val="2"/>
            <w:tcBorders>
              <w:top w:val="nil"/>
              <w:left w:val="nil"/>
              <w:bottom w:val="single" w:sz="4" w:space="0" w:color="auto"/>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r w:rsidRPr="00A505F5">
              <w:rPr>
                <w:rFonts w:eastAsia="Times New Roman" w:cs="Times New Roman"/>
                <w:color w:val="000000"/>
                <w:szCs w:val="24"/>
              </w:rPr>
              <w:t>-0.018</w:t>
            </w:r>
            <w:r w:rsidR="00537686">
              <w:rPr>
                <w:rFonts w:eastAsia="Times New Roman" w:cs="Times New Roman"/>
                <w:color w:val="000000"/>
                <w:szCs w:val="24"/>
              </w:rPr>
              <w:t>***</w:t>
            </w:r>
          </w:p>
        </w:tc>
      </w:tr>
      <w:tr w:rsidR="00815CCC" w:rsidRPr="00A505F5" w:rsidTr="004D39D9">
        <w:trPr>
          <w:gridAfter w:val="3"/>
          <w:wAfter w:w="1195" w:type="dxa"/>
          <w:trHeight w:val="315"/>
        </w:trPr>
        <w:tc>
          <w:tcPr>
            <w:tcW w:w="2767"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rPr>
                <w:rFonts w:eastAsia="Times New Roman" w:cs="Times New Roman"/>
                <w:color w:val="000000"/>
                <w:szCs w:val="24"/>
              </w:rPr>
            </w:pPr>
          </w:p>
        </w:tc>
        <w:tc>
          <w:tcPr>
            <w:tcW w:w="1568"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p>
        </w:tc>
        <w:tc>
          <w:tcPr>
            <w:tcW w:w="1620" w:type="dxa"/>
            <w:gridSpan w:val="3"/>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p>
        </w:tc>
        <w:tc>
          <w:tcPr>
            <w:tcW w:w="2070" w:type="dxa"/>
            <w:gridSpan w:val="2"/>
            <w:tcBorders>
              <w:top w:val="nil"/>
              <w:left w:val="nil"/>
              <w:bottom w:val="nil"/>
              <w:right w:val="nil"/>
            </w:tcBorders>
            <w:shd w:val="clear" w:color="auto" w:fill="auto"/>
            <w:noWrap/>
            <w:vAlign w:val="bottom"/>
            <w:hideMark/>
          </w:tcPr>
          <w:p w:rsidR="00815CCC" w:rsidRPr="00A505F5" w:rsidRDefault="00815CCC" w:rsidP="00A505F5">
            <w:pPr>
              <w:spacing w:after="0"/>
              <w:contextualSpacing w:val="0"/>
              <w:jc w:val="center"/>
              <w:rPr>
                <w:rFonts w:eastAsia="Times New Roman" w:cs="Times New Roman"/>
                <w:color w:val="000000"/>
                <w:szCs w:val="24"/>
              </w:rPr>
            </w:pPr>
          </w:p>
        </w:tc>
      </w:tr>
      <w:tr w:rsidR="009F74A6" w:rsidRPr="00A505F5" w:rsidTr="004D39D9">
        <w:trPr>
          <w:gridAfter w:val="1"/>
          <w:wAfter w:w="1015" w:type="dxa"/>
          <w:trHeight w:val="315"/>
        </w:trPr>
        <w:tc>
          <w:tcPr>
            <w:tcW w:w="8205" w:type="dxa"/>
            <w:gridSpan w:val="11"/>
            <w:tcBorders>
              <w:top w:val="nil"/>
              <w:left w:val="nil"/>
              <w:bottom w:val="nil"/>
              <w:right w:val="nil"/>
            </w:tcBorders>
            <w:shd w:val="clear" w:color="auto" w:fill="auto"/>
            <w:noWrap/>
            <w:vAlign w:val="bottom"/>
          </w:tcPr>
          <w:p w:rsidR="009F74A6" w:rsidRPr="00A505F5" w:rsidRDefault="009F74A6" w:rsidP="004D39D9">
            <w:pPr>
              <w:spacing w:after="0"/>
              <w:contextualSpacing w:val="0"/>
              <w:rPr>
                <w:rFonts w:eastAsia="Times New Roman" w:cs="Times New Roman"/>
                <w:color w:val="000000"/>
                <w:szCs w:val="24"/>
              </w:rPr>
            </w:pPr>
            <w:r w:rsidRPr="007F7DCA">
              <w:rPr>
                <w:rFonts w:eastAsia="Times New Roman" w:cs="Times New Roman"/>
                <w:color w:val="000000"/>
                <w:szCs w:val="24"/>
              </w:rPr>
              <w:t xml:space="preserve">Table </w:t>
            </w:r>
            <w:r>
              <w:rPr>
                <w:rFonts w:eastAsia="Times New Roman" w:cs="Times New Roman"/>
                <w:color w:val="000000"/>
                <w:szCs w:val="24"/>
              </w:rPr>
              <w:t>2b</w:t>
            </w:r>
            <w:r w:rsidRPr="007F7DCA">
              <w:rPr>
                <w:rFonts w:eastAsia="Times New Roman" w:cs="Times New Roman"/>
                <w:color w:val="000000"/>
                <w:szCs w:val="24"/>
              </w:rPr>
              <w:t>: Bachelor's Degree Completion Rates for Recent Georgia HS Graduates</w:t>
            </w:r>
          </w:p>
        </w:tc>
      </w:tr>
      <w:tr w:rsidR="00815CCC" w:rsidRPr="00A505F5" w:rsidTr="004D39D9">
        <w:trPr>
          <w:gridAfter w:val="2"/>
          <w:wAfter w:w="1105" w:type="dxa"/>
          <w:trHeight w:val="315"/>
        </w:trPr>
        <w:tc>
          <w:tcPr>
            <w:tcW w:w="2767" w:type="dxa"/>
            <w:gridSpan w:val="2"/>
            <w:tcBorders>
              <w:top w:val="single" w:sz="4" w:space="0" w:color="auto"/>
              <w:left w:val="nil"/>
              <w:bottom w:val="single" w:sz="4" w:space="0" w:color="auto"/>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 </w:t>
            </w:r>
          </w:p>
        </w:tc>
        <w:tc>
          <w:tcPr>
            <w:tcW w:w="1568" w:type="dxa"/>
            <w:gridSpan w:val="2"/>
            <w:tcBorders>
              <w:top w:val="single" w:sz="4" w:space="0" w:color="auto"/>
              <w:left w:val="nil"/>
              <w:bottom w:val="single" w:sz="4" w:space="0" w:color="auto"/>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1995-1996</w:t>
            </w:r>
          </w:p>
        </w:tc>
        <w:tc>
          <w:tcPr>
            <w:tcW w:w="1620" w:type="dxa"/>
            <w:gridSpan w:val="3"/>
            <w:tcBorders>
              <w:top w:val="single" w:sz="4" w:space="0" w:color="auto"/>
              <w:left w:val="nil"/>
              <w:bottom w:val="single" w:sz="4" w:space="0" w:color="auto"/>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1990-1991</w:t>
            </w:r>
          </w:p>
        </w:tc>
        <w:tc>
          <w:tcPr>
            <w:tcW w:w="2160" w:type="dxa"/>
            <w:gridSpan w:val="3"/>
            <w:tcBorders>
              <w:top w:val="single" w:sz="4" w:space="0" w:color="auto"/>
              <w:left w:val="nil"/>
              <w:bottom w:val="single" w:sz="4" w:space="0" w:color="auto"/>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Difference</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Four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0.266</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0.249</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0.017</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Five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0.355</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0.334</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0.021</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Six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0.395</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0.374</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0.021</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Seven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0.417</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0.395</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0.022</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Eight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0.430</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0.409</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0.021</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Nine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0.441</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0.418</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0.023</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Ten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0.448</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0.424</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0.024</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Eleven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0.454</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0.429</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0.025</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By Twelve Years after HS</w:t>
            </w:r>
          </w:p>
        </w:tc>
        <w:tc>
          <w:tcPr>
            <w:tcW w:w="1568" w:type="dxa"/>
            <w:gridSpan w:val="2"/>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0.458</w:t>
            </w:r>
          </w:p>
        </w:tc>
        <w:tc>
          <w:tcPr>
            <w:tcW w:w="162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0.433</w:t>
            </w:r>
          </w:p>
        </w:tc>
        <w:tc>
          <w:tcPr>
            <w:tcW w:w="2160" w:type="dxa"/>
            <w:gridSpan w:val="3"/>
            <w:tcBorders>
              <w:top w:val="nil"/>
              <w:left w:val="nil"/>
              <w:bottom w:val="nil"/>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0.026</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single" w:sz="4" w:space="0" w:color="auto"/>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Multi-year mean</w:t>
            </w:r>
          </w:p>
        </w:tc>
        <w:tc>
          <w:tcPr>
            <w:tcW w:w="1568" w:type="dxa"/>
            <w:gridSpan w:val="2"/>
            <w:tcBorders>
              <w:top w:val="nil"/>
              <w:left w:val="nil"/>
              <w:bottom w:val="single" w:sz="4" w:space="0" w:color="auto"/>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 </w:t>
            </w:r>
          </w:p>
        </w:tc>
        <w:tc>
          <w:tcPr>
            <w:tcW w:w="1620" w:type="dxa"/>
            <w:gridSpan w:val="3"/>
            <w:tcBorders>
              <w:top w:val="nil"/>
              <w:left w:val="nil"/>
              <w:bottom w:val="single" w:sz="4" w:space="0" w:color="auto"/>
              <w:right w:val="nil"/>
            </w:tcBorders>
            <w:shd w:val="clear" w:color="auto" w:fill="auto"/>
            <w:noWrap/>
            <w:vAlign w:val="bottom"/>
          </w:tcPr>
          <w:p w:rsidR="00815CCC" w:rsidRPr="007F7DCA" w:rsidRDefault="00815CCC" w:rsidP="00EE57D8">
            <w:pPr>
              <w:spacing w:after="0"/>
              <w:contextualSpacing w:val="0"/>
              <w:rPr>
                <w:rFonts w:eastAsia="Times New Roman" w:cs="Times New Roman"/>
                <w:color w:val="000000"/>
                <w:szCs w:val="24"/>
              </w:rPr>
            </w:pPr>
            <w:r w:rsidRPr="007F7DCA">
              <w:rPr>
                <w:rFonts w:eastAsia="Times New Roman" w:cs="Times New Roman"/>
                <w:color w:val="000000"/>
                <w:szCs w:val="24"/>
              </w:rPr>
              <w:t> </w:t>
            </w:r>
          </w:p>
        </w:tc>
        <w:tc>
          <w:tcPr>
            <w:tcW w:w="2160" w:type="dxa"/>
            <w:gridSpan w:val="3"/>
            <w:tcBorders>
              <w:top w:val="nil"/>
              <w:left w:val="nil"/>
              <w:bottom w:val="single" w:sz="4" w:space="0" w:color="auto"/>
              <w:right w:val="nil"/>
            </w:tcBorders>
            <w:shd w:val="clear" w:color="auto" w:fill="auto"/>
            <w:noWrap/>
            <w:vAlign w:val="bottom"/>
          </w:tcPr>
          <w:p w:rsidR="00815CCC" w:rsidRPr="007F7DCA" w:rsidRDefault="00815CCC" w:rsidP="00EE57D8">
            <w:pPr>
              <w:spacing w:after="0"/>
              <w:contextualSpacing w:val="0"/>
              <w:jc w:val="center"/>
              <w:rPr>
                <w:rFonts w:eastAsia="Times New Roman" w:cs="Times New Roman"/>
                <w:color w:val="000000"/>
                <w:szCs w:val="24"/>
              </w:rPr>
            </w:pPr>
            <w:r w:rsidRPr="007F7DCA">
              <w:rPr>
                <w:rFonts w:eastAsia="Times New Roman" w:cs="Times New Roman"/>
                <w:color w:val="000000"/>
                <w:szCs w:val="24"/>
              </w:rPr>
              <w:t>0.022</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A505F5" w:rsidRDefault="00815CCC" w:rsidP="00A505F5">
            <w:pPr>
              <w:spacing w:after="0"/>
              <w:contextualSpacing w:val="0"/>
              <w:rPr>
                <w:rFonts w:eastAsia="Times New Roman" w:cs="Times New Roman"/>
                <w:color w:val="000000"/>
                <w:szCs w:val="24"/>
              </w:rPr>
            </w:pPr>
          </w:p>
        </w:tc>
        <w:tc>
          <w:tcPr>
            <w:tcW w:w="1568" w:type="dxa"/>
            <w:gridSpan w:val="2"/>
            <w:tcBorders>
              <w:top w:val="nil"/>
              <w:left w:val="nil"/>
              <w:bottom w:val="nil"/>
              <w:right w:val="nil"/>
            </w:tcBorders>
            <w:shd w:val="clear" w:color="auto" w:fill="auto"/>
            <w:noWrap/>
            <w:vAlign w:val="bottom"/>
          </w:tcPr>
          <w:p w:rsidR="00815CCC" w:rsidRPr="00A505F5" w:rsidRDefault="00815CCC" w:rsidP="00A505F5">
            <w:pPr>
              <w:spacing w:after="0"/>
              <w:contextualSpacing w:val="0"/>
              <w:jc w:val="center"/>
              <w:rPr>
                <w:rFonts w:eastAsia="Times New Roman" w:cs="Times New Roman"/>
                <w:color w:val="000000"/>
                <w:szCs w:val="24"/>
              </w:rPr>
            </w:pPr>
          </w:p>
        </w:tc>
        <w:tc>
          <w:tcPr>
            <w:tcW w:w="1620" w:type="dxa"/>
            <w:gridSpan w:val="3"/>
            <w:tcBorders>
              <w:top w:val="nil"/>
              <w:left w:val="nil"/>
              <w:bottom w:val="nil"/>
              <w:right w:val="nil"/>
            </w:tcBorders>
            <w:shd w:val="clear" w:color="auto" w:fill="auto"/>
            <w:noWrap/>
            <w:vAlign w:val="bottom"/>
          </w:tcPr>
          <w:p w:rsidR="00815CCC" w:rsidRPr="00A505F5" w:rsidRDefault="00815CCC" w:rsidP="00A505F5">
            <w:pPr>
              <w:spacing w:after="0"/>
              <w:contextualSpacing w:val="0"/>
              <w:jc w:val="center"/>
              <w:rPr>
                <w:rFonts w:eastAsia="Times New Roman" w:cs="Times New Roman"/>
                <w:color w:val="000000"/>
                <w:szCs w:val="24"/>
              </w:rPr>
            </w:pPr>
          </w:p>
        </w:tc>
        <w:tc>
          <w:tcPr>
            <w:tcW w:w="2160" w:type="dxa"/>
            <w:gridSpan w:val="3"/>
            <w:tcBorders>
              <w:top w:val="nil"/>
              <w:left w:val="nil"/>
              <w:bottom w:val="nil"/>
              <w:right w:val="nil"/>
            </w:tcBorders>
            <w:shd w:val="clear" w:color="auto" w:fill="auto"/>
            <w:noWrap/>
            <w:vAlign w:val="bottom"/>
          </w:tcPr>
          <w:p w:rsidR="00815CCC" w:rsidRPr="00A505F5" w:rsidRDefault="00815CCC" w:rsidP="00A505F5">
            <w:pPr>
              <w:spacing w:after="0"/>
              <w:contextualSpacing w:val="0"/>
              <w:jc w:val="center"/>
              <w:rPr>
                <w:rFonts w:eastAsia="Times New Roman" w:cs="Times New Roman"/>
                <w:color w:val="000000"/>
                <w:szCs w:val="24"/>
              </w:rPr>
            </w:pPr>
          </w:p>
        </w:tc>
      </w:tr>
      <w:tr w:rsidR="009F74A6" w:rsidRPr="00A505F5" w:rsidTr="004D39D9">
        <w:trPr>
          <w:gridAfter w:val="2"/>
          <w:wAfter w:w="1105" w:type="dxa"/>
          <w:trHeight w:val="315"/>
        </w:trPr>
        <w:tc>
          <w:tcPr>
            <w:tcW w:w="8115" w:type="dxa"/>
            <w:gridSpan w:val="10"/>
            <w:tcBorders>
              <w:top w:val="nil"/>
              <w:left w:val="nil"/>
              <w:bottom w:val="nil"/>
              <w:right w:val="nil"/>
            </w:tcBorders>
            <w:shd w:val="clear" w:color="auto" w:fill="auto"/>
            <w:noWrap/>
            <w:vAlign w:val="bottom"/>
          </w:tcPr>
          <w:p w:rsidR="009F74A6" w:rsidRPr="00A505F5" w:rsidRDefault="009F74A6" w:rsidP="004D39D9">
            <w:pPr>
              <w:spacing w:after="0"/>
              <w:contextualSpacing w:val="0"/>
              <w:rPr>
                <w:rFonts w:eastAsia="Times New Roman" w:cs="Times New Roman"/>
                <w:color w:val="000000"/>
                <w:szCs w:val="24"/>
              </w:rPr>
            </w:pPr>
            <w:r w:rsidRPr="00BA4D1E">
              <w:rPr>
                <w:rFonts w:eastAsia="Times New Roman" w:cs="Times New Roman"/>
                <w:color w:val="000000"/>
                <w:szCs w:val="24"/>
              </w:rPr>
              <w:t xml:space="preserve">Table </w:t>
            </w:r>
            <w:r>
              <w:rPr>
                <w:rFonts w:eastAsia="Times New Roman" w:cs="Times New Roman"/>
                <w:color w:val="000000"/>
                <w:szCs w:val="24"/>
              </w:rPr>
              <w:t>2c</w:t>
            </w:r>
            <w:r w:rsidRPr="00BA4D1E">
              <w:rPr>
                <w:rFonts w:eastAsia="Times New Roman" w:cs="Times New Roman"/>
                <w:color w:val="000000"/>
                <w:szCs w:val="24"/>
              </w:rPr>
              <w:t>: Share of USG Graduates Employed in Georgia Years after High School</w:t>
            </w:r>
          </w:p>
        </w:tc>
      </w:tr>
      <w:tr w:rsidR="00815CCC" w:rsidRPr="00A505F5" w:rsidTr="004D39D9">
        <w:trPr>
          <w:gridAfter w:val="2"/>
          <w:wAfter w:w="1105" w:type="dxa"/>
          <w:trHeight w:val="315"/>
        </w:trPr>
        <w:tc>
          <w:tcPr>
            <w:tcW w:w="2767" w:type="dxa"/>
            <w:gridSpan w:val="2"/>
            <w:tcBorders>
              <w:top w:val="single" w:sz="4" w:space="0" w:color="auto"/>
              <w:left w:val="nil"/>
              <w:bottom w:val="single" w:sz="4" w:space="0" w:color="auto"/>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 </w:t>
            </w:r>
          </w:p>
        </w:tc>
        <w:tc>
          <w:tcPr>
            <w:tcW w:w="1568" w:type="dxa"/>
            <w:gridSpan w:val="2"/>
            <w:tcBorders>
              <w:top w:val="single" w:sz="4" w:space="0" w:color="auto"/>
              <w:left w:val="nil"/>
              <w:bottom w:val="single" w:sz="4" w:space="0" w:color="auto"/>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1995-1996</w:t>
            </w:r>
          </w:p>
        </w:tc>
        <w:tc>
          <w:tcPr>
            <w:tcW w:w="1447" w:type="dxa"/>
            <w:gridSpan w:val="2"/>
            <w:tcBorders>
              <w:top w:val="single" w:sz="4" w:space="0" w:color="auto"/>
              <w:left w:val="nil"/>
              <w:bottom w:val="single" w:sz="4" w:space="0" w:color="auto"/>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1990-1991</w:t>
            </w:r>
          </w:p>
        </w:tc>
        <w:tc>
          <w:tcPr>
            <w:tcW w:w="2333" w:type="dxa"/>
            <w:gridSpan w:val="4"/>
            <w:tcBorders>
              <w:top w:val="single" w:sz="4" w:space="0" w:color="auto"/>
              <w:left w:val="nil"/>
              <w:bottom w:val="single" w:sz="4" w:space="0" w:color="auto"/>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Difference</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Four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0.822</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0.822</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0.000</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Five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0.824</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0.851</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-0.027</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Six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0.806</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0.839</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-0.033</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Seven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0.786</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0.822</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-0.036</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Eight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0.769</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0.805</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-0.036</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Nine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0.755</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0.791</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-0.036</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Ten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0.739</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0.762</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-0.023</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Eleven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0.724</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0.738</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-0.015</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Twelve Years after HS</w:t>
            </w:r>
          </w:p>
        </w:tc>
        <w:tc>
          <w:tcPr>
            <w:tcW w:w="1568"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0.707</w:t>
            </w:r>
          </w:p>
        </w:tc>
        <w:tc>
          <w:tcPr>
            <w:tcW w:w="1447" w:type="dxa"/>
            <w:gridSpan w:val="2"/>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0.719</w:t>
            </w:r>
          </w:p>
        </w:tc>
        <w:tc>
          <w:tcPr>
            <w:tcW w:w="2333" w:type="dxa"/>
            <w:gridSpan w:val="4"/>
            <w:tcBorders>
              <w:top w:val="nil"/>
              <w:left w:val="nil"/>
              <w:bottom w:val="nil"/>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-0.012</w:t>
            </w:r>
            <w:r w:rsidR="00537686">
              <w:rPr>
                <w:rFonts w:eastAsia="Times New Roman" w:cs="Times New Roman"/>
                <w:color w:val="000000"/>
                <w:szCs w:val="24"/>
              </w:rPr>
              <w:t>***</w:t>
            </w:r>
          </w:p>
        </w:tc>
      </w:tr>
      <w:tr w:rsidR="00815CCC" w:rsidRPr="00A505F5" w:rsidTr="004D39D9">
        <w:trPr>
          <w:gridAfter w:val="2"/>
          <w:wAfter w:w="1105" w:type="dxa"/>
          <w:trHeight w:val="315"/>
        </w:trPr>
        <w:tc>
          <w:tcPr>
            <w:tcW w:w="2767" w:type="dxa"/>
            <w:gridSpan w:val="2"/>
            <w:tcBorders>
              <w:top w:val="nil"/>
              <w:left w:val="nil"/>
              <w:bottom w:val="single" w:sz="4" w:space="0" w:color="auto"/>
              <w:right w:val="nil"/>
            </w:tcBorders>
            <w:shd w:val="clear" w:color="auto" w:fill="auto"/>
            <w:noWrap/>
            <w:vAlign w:val="bottom"/>
          </w:tcPr>
          <w:p w:rsidR="00815CCC" w:rsidRPr="00BA4D1E" w:rsidRDefault="00815CCC" w:rsidP="00EE57D8">
            <w:pPr>
              <w:spacing w:after="0"/>
              <w:contextualSpacing w:val="0"/>
              <w:rPr>
                <w:rFonts w:eastAsia="Times New Roman" w:cs="Times New Roman"/>
                <w:color w:val="000000"/>
                <w:szCs w:val="24"/>
              </w:rPr>
            </w:pPr>
            <w:r w:rsidRPr="00BA4D1E">
              <w:rPr>
                <w:rFonts w:eastAsia="Times New Roman" w:cs="Times New Roman"/>
                <w:color w:val="000000"/>
                <w:szCs w:val="24"/>
              </w:rPr>
              <w:t>Multi-year mean</w:t>
            </w:r>
          </w:p>
        </w:tc>
        <w:tc>
          <w:tcPr>
            <w:tcW w:w="1568" w:type="dxa"/>
            <w:gridSpan w:val="2"/>
            <w:tcBorders>
              <w:top w:val="nil"/>
              <w:left w:val="nil"/>
              <w:bottom w:val="single" w:sz="4" w:space="0" w:color="auto"/>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 </w:t>
            </w:r>
          </w:p>
        </w:tc>
        <w:tc>
          <w:tcPr>
            <w:tcW w:w="1447" w:type="dxa"/>
            <w:gridSpan w:val="2"/>
            <w:tcBorders>
              <w:top w:val="nil"/>
              <w:left w:val="nil"/>
              <w:bottom w:val="single" w:sz="4" w:space="0" w:color="auto"/>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 </w:t>
            </w:r>
          </w:p>
        </w:tc>
        <w:tc>
          <w:tcPr>
            <w:tcW w:w="2333" w:type="dxa"/>
            <w:gridSpan w:val="4"/>
            <w:tcBorders>
              <w:top w:val="nil"/>
              <w:left w:val="nil"/>
              <w:bottom w:val="single" w:sz="4" w:space="0" w:color="auto"/>
              <w:right w:val="nil"/>
            </w:tcBorders>
            <w:shd w:val="clear" w:color="auto" w:fill="auto"/>
            <w:noWrap/>
            <w:vAlign w:val="bottom"/>
          </w:tcPr>
          <w:p w:rsidR="00815CCC" w:rsidRPr="00BA4D1E" w:rsidRDefault="00815CCC" w:rsidP="00EE57D8">
            <w:pPr>
              <w:spacing w:after="0"/>
              <w:contextualSpacing w:val="0"/>
              <w:jc w:val="center"/>
              <w:rPr>
                <w:rFonts w:eastAsia="Times New Roman" w:cs="Times New Roman"/>
                <w:color w:val="000000"/>
                <w:szCs w:val="24"/>
              </w:rPr>
            </w:pPr>
            <w:r w:rsidRPr="00BA4D1E">
              <w:rPr>
                <w:rFonts w:eastAsia="Times New Roman" w:cs="Times New Roman"/>
                <w:color w:val="000000"/>
                <w:szCs w:val="24"/>
              </w:rPr>
              <w:t>-0.024</w:t>
            </w:r>
            <w:r w:rsidR="00537686">
              <w:rPr>
                <w:rFonts w:eastAsia="Times New Roman" w:cs="Times New Roman"/>
                <w:color w:val="000000"/>
                <w:szCs w:val="24"/>
              </w:rPr>
              <w:t>***</w:t>
            </w:r>
          </w:p>
        </w:tc>
      </w:tr>
      <w:tr w:rsidR="006D190A" w:rsidRPr="00A505F5" w:rsidTr="006D190A">
        <w:trPr>
          <w:trHeight w:val="315"/>
        </w:trPr>
        <w:tc>
          <w:tcPr>
            <w:tcW w:w="9220" w:type="dxa"/>
            <w:gridSpan w:val="12"/>
            <w:tcBorders>
              <w:top w:val="nil"/>
              <w:left w:val="nil"/>
              <w:bottom w:val="nil"/>
              <w:right w:val="nil"/>
            </w:tcBorders>
            <w:shd w:val="clear" w:color="auto" w:fill="auto"/>
            <w:noWrap/>
            <w:vAlign w:val="bottom"/>
            <w:hideMark/>
          </w:tcPr>
          <w:p w:rsidR="00815CCC" w:rsidRDefault="006D190A" w:rsidP="00975A0F">
            <w:pPr>
              <w:spacing w:after="0"/>
              <w:contextualSpacing w:val="0"/>
              <w:rPr>
                <w:rFonts w:eastAsia="Times New Roman" w:cs="Times New Roman"/>
                <w:color w:val="000000"/>
                <w:sz w:val="20"/>
                <w:szCs w:val="20"/>
              </w:rPr>
            </w:pPr>
            <w:r w:rsidRPr="0066542A">
              <w:rPr>
                <w:rFonts w:eastAsia="Times New Roman" w:cs="Times New Roman"/>
                <w:color w:val="000000"/>
                <w:sz w:val="20"/>
                <w:szCs w:val="20"/>
              </w:rPr>
              <w:t>Notes: Employment</w:t>
            </w:r>
            <w:r w:rsidR="00975A0F">
              <w:rPr>
                <w:rFonts w:eastAsia="Times New Roman" w:cs="Times New Roman"/>
                <w:color w:val="000000"/>
                <w:sz w:val="20"/>
                <w:szCs w:val="20"/>
              </w:rPr>
              <w:t xml:space="preserve"> or degree completion</w:t>
            </w:r>
            <w:r w:rsidRPr="0066542A">
              <w:rPr>
                <w:rFonts w:eastAsia="Times New Roman" w:cs="Times New Roman"/>
                <w:color w:val="000000"/>
                <w:sz w:val="20"/>
                <w:szCs w:val="20"/>
              </w:rPr>
              <w:t xml:space="preserve"> X years after HS for the USG sample is defined for the </w:t>
            </w:r>
          </w:p>
          <w:p w:rsidR="006D190A" w:rsidRDefault="006D190A" w:rsidP="00975A0F">
            <w:pPr>
              <w:spacing w:after="0"/>
              <w:contextualSpacing w:val="0"/>
              <w:rPr>
                <w:rFonts w:eastAsia="Times New Roman" w:cs="Times New Roman"/>
                <w:color w:val="000000"/>
                <w:sz w:val="20"/>
                <w:szCs w:val="20"/>
              </w:rPr>
            </w:pPr>
            <w:proofErr w:type="gramStart"/>
            <w:r w:rsidRPr="0066542A">
              <w:rPr>
                <w:rFonts w:eastAsia="Times New Roman" w:cs="Times New Roman"/>
                <w:color w:val="000000"/>
                <w:sz w:val="20"/>
                <w:szCs w:val="20"/>
              </w:rPr>
              <w:t>calendar</w:t>
            </w:r>
            <w:proofErr w:type="gramEnd"/>
            <w:r w:rsidRPr="0066542A">
              <w:rPr>
                <w:rFonts w:eastAsia="Times New Roman" w:cs="Times New Roman"/>
                <w:color w:val="000000"/>
                <w:sz w:val="20"/>
                <w:szCs w:val="20"/>
              </w:rPr>
              <w:t xml:space="preserve"> year X years after the year the individual graduated high school</w:t>
            </w:r>
            <w:r w:rsidR="005046C9">
              <w:rPr>
                <w:rFonts w:eastAsia="Times New Roman" w:cs="Times New Roman"/>
                <w:color w:val="000000"/>
                <w:sz w:val="20"/>
                <w:szCs w:val="20"/>
              </w:rPr>
              <w:t xml:space="preserve">. </w:t>
            </w:r>
          </w:p>
          <w:p w:rsidR="00537686" w:rsidRPr="001B4474" w:rsidRDefault="00537686" w:rsidP="00975A0F">
            <w:pPr>
              <w:spacing w:after="0"/>
              <w:contextualSpacing w:val="0"/>
              <w:rPr>
                <w:rFonts w:eastAsia="Times New Roman" w:cs="Times New Roman"/>
                <w:color w:val="000000"/>
                <w:sz w:val="20"/>
                <w:szCs w:val="20"/>
              </w:rPr>
            </w:pPr>
            <w:r w:rsidRPr="004D39D9">
              <w:rPr>
                <w:rFonts w:eastAsia="Times New Roman" w:cs="Times New Roman"/>
                <w:color w:val="000000"/>
                <w:sz w:val="20"/>
                <w:szCs w:val="20"/>
              </w:rPr>
              <w:t>*** Significant at 1%.</w:t>
            </w:r>
          </w:p>
        </w:tc>
      </w:tr>
      <w:tr w:rsidR="00F23526" w:rsidRPr="00A505F5" w:rsidTr="004013A6">
        <w:trPr>
          <w:gridAfter w:val="4"/>
          <w:wAfter w:w="2635" w:type="dxa"/>
          <w:trHeight w:val="315"/>
        </w:trPr>
        <w:tc>
          <w:tcPr>
            <w:tcW w:w="6585" w:type="dxa"/>
            <w:gridSpan w:val="8"/>
            <w:tcBorders>
              <w:top w:val="nil"/>
              <w:left w:val="nil"/>
              <w:bottom w:val="nil"/>
              <w:right w:val="nil"/>
            </w:tcBorders>
            <w:shd w:val="clear" w:color="auto" w:fill="auto"/>
            <w:noWrap/>
            <w:vAlign w:val="bottom"/>
            <w:hideMark/>
          </w:tcPr>
          <w:p w:rsidR="006A4967" w:rsidRDefault="00F23526" w:rsidP="006D190A">
            <w:pPr>
              <w:spacing w:after="0"/>
              <w:contextualSpacing w:val="0"/>
              <w:rPr>
                <w:rFonts w:eastAsia="Times New Roman" w:cs="Times New Roman"/>
                <w:color w:val="000000"/>
                <w:szCs w:val="24"/>
              </w:rPr>
            </w:pPr>
            <w:r w:rsidRPr="00A505F5">
              <w:rPr>
                <w:rFonts w:eastAsia="Times New Roman" w:cs="Times New Roman"/>
                <w:color w:val="000000"/>
                <w:szCs w:val="24"/>
              </w:rPr>
              <w:lastRenderedPageBreak/>
              <w:t xml:space="preserve">Table </w:t>
            </w:r>
            <w:r w:rsidR="006D190A">
              <w:rPr>
                <w:rFonts w:eastAsia="Times New Roman" w:cs="Times New Roman"/>
                <w:color w:val="000000"/>
                <w:szCs w:val="24"/>
              </w:rPr>
              <w:t>3</w:t>
            </w:r>
            <w:r w:rsidRPr="00A505F5">
              <w:rPr>
                <w:rFonts w:eastAsia="Times New Roman" w:cs="Times New Roman"/>
                <w:color w:val="000000"/>
                <w:szCs w:val="24"/>
              </w:rPr>
              <w:t>: Mean SAT Scores by High School GPA Group</w:t>
            </w:r>
          </w:p>
        </w:tc>
      </w:tr>
      <w:tr w:rsidR="00F23526" w:rsidRPr="00A505F5" w:rsidTr="004013A6">
        <w:trPr>
          <w:gridAfter w:val="4"/>
          <w:wAfter w:w="2635" w:type="dxa"/>
          <w:trHeight w:val="315"/>
        </w:trPr>
        <w:tc>
          <w:tcPr>
            <w:tcW w:w="1999" w:type="dxa"/>
            <w:tcBorders>
              <w:top w:val="single" w:sz="4" w:space="0" w:color="auto"/>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 </w:t>
            </w:r>
          </w:p>
        </w:tc>
        <w:tc>
          <w:tcPr>
            <w:tcW w:w="4586" w:type="dxa"/>
            <w:gridSpan w:val="7"/>
            <w:tcBorders>
              <w:top w:val="single" w:sz="4" w:space="0" w:color="auto"/>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Mean Combined SAT Scores</w:t>
            </w:r>
          </w:p>
        </w:tc>
      </w:tr>
      <w:tr w:rsidR="00F23526" w:rsidRPr="00A505F5" w:rsidTr="004013A6">
        <w:trPr>
          <w:gridAfter w:val="4"/>
          <w:wAfter w:w="2635" w:type="dxa"/>
          <w:trHeight w:val="315"/>
        </w:trPr>
        <w:tc>
          <w:tcPr>
            <w:tcW w:w="1999" w:type="dxa"/>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 </w:t>
            </w:r>
          </w:p>
        </w:tc>
        <w:tc>
          <w:tcPr>
            <w:tcW w:w="1461" w:type="dxa"/>
            <w:gridSpan w:val="2"/>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1995-1996</w:t>
            </w:r>
          </w:p>
        </w:tc>
        <w:tc>
          <w:tcPr>
            <w:tcW w:w="1461" w:type="dxa"/>
            <w:gridSpan w:val="2"/>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1990-1991</w:t>
            </w:r>
          </w:p>
        </w:tc>
        <w:tc>
          <w:tcPr>
            <w:tcW w:w="1664" w:type="dxa"/>
            <w:gridSpan w:val="3"/>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Difference</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Total</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982.5</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960.1</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22.4</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 unknown</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886.1</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895.4</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-9.3</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GPA&lt;1.5</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790.2</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815.3</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-25.0</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GPA=1.6</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816.7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844.4</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-27.7</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GPA=1.7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820.7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850.4</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-29.6</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GPA=1.8</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828.6</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843.0</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-14.5</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GPA=1.9</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840.5</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856.6</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-16.1</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GPA=2.0</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840.3</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870.3</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-30.0</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GPA=2.1</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862.9</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867.9</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-4.9</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GPA=2.2</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871.7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876.8</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-5.0</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GPA=2.3</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878.9</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888.4</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-9.5</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GPA=2.4</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889.4</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907.6</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-18.2</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GPA=2.5</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908.3</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917.4</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-9.2</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GPA=2.6</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925.2</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936.3</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-11.1</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938.0</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945.4</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-7.4</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GPA=2.8</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951.4</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970.9</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-19.5</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GPA=2.9</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972.7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978.3</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-5.6</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GPA=3.0</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988.8</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997.6</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-8.8</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GPA=3.1</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1003.7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1013.4</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-9.7</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GPA=3.2</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1024.6</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1034.6</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-10.0</w:t>
            </w:r>
            <w:r>
              <w:rPr>
                <w:rFonts w:eastAsia="Times New Roman" w:cs="Times New Roman"/>
                <w:color w:val="000000"/>
                <w:szCs w:val="24"/>
              </w:rPr>
              <w:t>**</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GPA=3.3</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1046.3</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1045.6</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0.8</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GPA=3.4</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1057.3</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1065.5</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-8.2</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GPA=3.5</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1072.4</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1079.2</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-6.9</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GPA=3.6</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1099.4</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1098.3</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GPA=3.7</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1123.6</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1121.6</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2.0</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GPA=3.8</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1145.4</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1139.0</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6.5</w:t>
            </w:r>
          </w:p>
        </w:tc>
      </w:tr>
      <w:tr w:rsidR="00F23526" w:rsidRPr="00A505F5" w:rsidTr="004013A6">
        <w:trPr>
          <w:gridAfter w:val="4"/>
          <w:wAfter w:w="2635" w:type="dxa"/>
          <w:trHeight w:val="315"/>
        </w:trPr>
        <w:tc>
          <w:tcPr>
            <w:tcW w:w="1999" w:type="dxa"/>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GPA=3.9</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1178.6</w:t>
            </w:r>
          </w:p>
        </w:tc>
        <w:tc>
          <w:tcPr>
            <w:tcW w:w="1461" w:type="dxa"/>
            <w:gridSpan w:val="2"/>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1170.3</w:t>
            </w:r>
          </w:p>
        </w:tc>
        <w:tc>
          <w:tcPr>
            <w:tcW w:w="1664" w:type="dxa"/>
            <w:gridSpan w:val="3"/>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8.3</w:t>
            </w:r>
          </w:p>
        </w:tc>
      </w:tr>
      <w:tr w:rsidR="00F23526" w:rsidRPr="00A505F5" w:rsidTr="004013A6">
        <w:trPr>
          <w:gridAfter w:val="4"/>
          <w:wAfter w:w="2635" w:type="dxa"/>
          <w:trHeight w:val="315"/>
        </w:trPr>
        <w:tc>
          <w:tcPr>
            <w:tcW w:w="1999" w:type="dxa"/>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GPA=4.0</w:t>
            </w:r>
          </w:p>
        </w:tc>
        <w:tc>
          <w:tcPr>
            <w:tcW w:w="1461" w:type="dxa"/>
            <w:gridSpan w:val="2"/>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1244.6</w:t>
            </w:r>
          </w:p>
        </w:tc>
        <w:tc>
          <w:tcPr>
            <w:tcW w:w="1461" w:type="dxa"/>
            <w:gridSpan w:val="2"/>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1180.7</w:t>
            </w:r>
          </w:p>
        </w:tc>
        <w:tc>
          <w:tcPr>
            <w:tcW w:w="1664" w:type="dxa"/>
            <w:gridSpan w:val="3"/>
            <w:tcBorders>
              <w:top w:val="nil"/>
              <w:left w:val="nil"/>
              <w:bottom w:val="single" w:sz="4" w:space="0" w:color="auto"/>
              <w:right w:val="nil"/>
            </w:tcBorders>
            <w:shd w:val="clear" w:color="auto" w:fill="auto"/>
            <w:noWrap/>
            <w:vAlign w:val="bottom"/>
            <w:hideMark/>
          </w:tcPr>
          <w:p w:rsidR="00F23526" w:rsidRPr="00A505F5" w:rsidRDefault="00F23526" w:rsidP="004013A6">
            <w:pPr>
              <w:spacing w:after="0"/>
              <w:contextualSpacing w:val="0"/>
              <w:jc w:val="center"/>
              <w:rPr>
                <w:rFonts w:eastAsia="Times New Roman" w:cs="Times New Roman"/>
                <w:color w:val="000000"/>
                <w:szCs w:val="24"/>
              </w:rPr>
            </w:pPr>
            <w:r w:rsidRPr="00A505F5">
              <w:rPr>
                <w:rFonts w:eastAsia="Times New Roman" w:cs="Times New Roman"/>
                <w:color w:val="000000"/>
                <w:szCs w:val="24"/>
              </w:rPr>
              <w:t>63.9</w:t>
            </w:r>
            <w:r>
              <w:rPr>
                <w:rFonts w:eastAsia="Times New Roman" w:cs="Times New Roman"/>
                <w:color w:val="000000"/>
                <w:szCs w:val="24"/>
              </w:rPr>
              <w:t>***</w:t>
            </w:r>
          </w:p>
        </w:tc>
      </w:tr>
      <w:tr w:rsidR="00F23526" w:rsidRPr="00A505F5" w:rsidTr="004013A6">
        <w:trPr>
          <w:gridAfter w:val="4"/>
          <w:wAfter w:w="2635" w:type="dxa"/>
          <w:trHeight w:val="315"/>
        </w:trPr>
        <w:tc>
          <w:tcPr>
            <w:tcW w:w="6585" w:type="dxa"/>
            <w:gridSpan w:val="8"/>
            <w:tcBorders>
              <w:top w:val="nil"/>
              <w:left w:val="nil"/>
              <w:bottom w:val="nil"/>
              <w:right w:val="nil"/>
            </w:tcBorders>
            <w:shd w:val="clear" w:color="auto" w:fill="auto"/>
            <w:noWrap/>
            <w:vAlign w:val="bottom"/>
            <w:hideMark/>
          </w:tcPr>
          <w:p w:rsidR="00F23526" w:rsidRPr="00A505F5" w:rsidRDefault="00F23526" w:rsidP="004013A6">
            <w:pPr>
              <w:spacing w:after="0"/>
              <w:contextualSpacing w:val="0"/>
              <w:rPr>
                <w:rFonts w:eastAsia="Times New Roman" w:cs="Times New Roman"/>
                <w:color w:val="000000"/>
                <w:szCs w:val="24"/>
              </w:rPr>
            </w:pPr>
            <w:r w:rsidRPr="00A505F5">
              <w:rPr>
                <w:rFonts w:eastAsia="Times New Roman" w:cs="Times New Roman"/>
                <w:color w:val="000000"/>
                <w:szCs w:val="24"/>
              </w:rPr>
              <w:t>* Significant at 10%; ** Significant at 5%; *** Significant at 1%.</w:t>
            </w:r>
          </w:p>
        </w:tc>
      </w:tr>
    </w:tbl>
    <w:p w:rsidR="009D7786" w:rsidRDefault="009D7786"/>
    <w:p w:rsidR="009D7786" w:rsidRDefault="009D7786">
      <w:pPr>
        <w:spacing w:line="276" w:lineRule="auto"/>
        <w:contextualSpacing w:val="0"/>
      </w:pPr>
      <w:r>
        <w:br w:type="page"/>
      </w:r>
    </w:p>
    <w:tbl>
      <w:tblPr>
        <w:tblW w:w="5260" w:type="dxa"/>
        <w:tblCellMar>
          <w:left w:w="0" w:type="dxa"/>
          <w:right w:w="0" w:type="dxa"/>
        </w:tblCellMar>
        <w:tblLook w:val="04A0" w:firstRow="1" w:lastRow="0" w:firstColumn="1" w:lastColumn="0" w:noHBand="0" w:noVBand="1"/>
      </w:tblPr>
      <w:tblGrid>
        <w:gridCol w:w="1663"/>
        <w:gridCol w:w="1204"/>
        <w:gridCol w:w="1204"/>
        <w:gridCol w:w="1189"/>
      </w:tblGrid>
      <w:tr w:rsidR="009D7786" w:rsidTr="004013A6">
        <w:trPr>
          <w:trHeight w:val="315"/>
        </w:trPr>
        <w:tc>
          <w:tcPr>
            <w:tcW w:w="526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582FA6" w:rsidRDefault="006D190A">
            <w:pPr>
              <w:rPr>
                <w:color w:val="000000"/>
                <w:szCs w:val="24"/>
              </w:rPr>
            </w:pPr>
            <w:r>
              <w:rPr>
                <w:color w:val="000000"/>
              </w:rPr>
              <w:lastRenderedPageBreak/>
              <w:t>Table 4</w:t>
            </w:r>
            <w:r w:rsidR="009D7786">
              <w:rPr>
                <w:color w:val="000000"/>
              </w:rPr>
              <w:t xml:space="preserve">: High School GPA by </w:t>
            </w:r>
            <w:r w:rsidR="009A26BD">
              <w:rPr>
                <w:color w:val="000000"/>
              </w:rPr>
              <w:t>Decile Cutoffs</w:t>
            </w:r>
          </w:p>
        </w:tc>
      </w:tr>
      <w:tr w:rsidR="009D7786" w:rsidTr="009D7786">
        <w:trPr>
          <w:trHeight w:val="315"/>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1995-1996</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1990-1991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Difference</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10th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1.84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0.16</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20th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0.20</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30th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0.20</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40th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0.23</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50th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0.30</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60th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3.06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0.26</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70th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3.26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0.26</w:t>
            </w:r>
          </w:p>
        </w:tc>
      </w:tr>
      <w:tr w:rsidR="009D7786" w:rsidTr="009D7786">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80th Percentile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3.50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3.30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0.20</w:t>
            </w:r>
          </w:p>
        </w:tc>
      </w:tr>
      <w:tr w:rsidR="009D7786" w:rsidTr="009D7786">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rPr>
                <w:color w:val="000000"/>
                <w:szCs w:val="24"/>
              </w:rPr>
            </w:pPr>
            <w:r>
              <w:rPr>
                <w:color w:val="000000"/>
              </w:rPr>
              <w:t>90th Percentile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3.75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3.60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D7786" w:rsidRDefault="009D7786">
            <w:pPr>
              <w:jc w:val="center"/>
              <w:rPr>
                <w:color w:val="000000"/>
                <w:szCs w:val="24"/>
              </w:rPr>
            </w:pPr>
            <w:r>
              <w:rPr>
                <w:color w:val="000000"/>
              </w:rPr>
              <w:t>0.15</w:t>
            </w:r>
          </w:p>
        </w:tc>
      </w:tr>
    </w:tbl>
    <w:p w:rsidR="00F23526" w:rsidRDefault="009D7786">
      <w:r>
        <w:t xml:space="preserve"> </w:t>
      </w:r>
      <w:r w:rsidR="00F23526">
        <w:br w:type="page"/>
      </w:r>
    </w:p>
    <w:tbl>
      <w:tblPr>
        <w:tblW w:w="8520" w:type="dxa"/>
        <w:tblInd w:w="93" w:type="dxa"/>
        <w:tblLook w:val="04A0" w:firstRow="1" w:lastRow="0" w:firstColumn="1" w:lastColumn="0" w:noHBand="0" w:noVBand="1"/>
      </w:tblPr>
      <w:tblGrid>
        <w:gridCol w:w="3115"/>
        <w:gridCol w:w="1220"/>
        <w:gridCol w:w="1345"/>
        <w:gridCol w:w="1290"/>
        <w:gridCol w:w="1550"/>
      </w:tblGrid>
      <w:tr w:rsidR="006424F3" w:rsidRPr="007E74A8" w:rsidTr="0011344C">
        <w:trPr>
          <w:trHeight w:val="312"/>
        </w:trPr>
        <w:tc>
          <w:tcPr>
            <w:tcW w:w="8520" w:type="dxa"/>
            <w:gridSpan w:val="5"/>
            <w:tcBorders>
              <w:top w:val="nil"/>
              <w:left w:val="nil"/>
              <w:bottom w:val="nil"/>
              <w:right w:val="nil"/>
            </w:tcBorders>
            <w:shd w:val="clear" w:color="auto" w:fill="auto"/>
            <w:noWrap/>
            <w:vAlign w:val="bottom"/>
            <w:hideMark/>
          </w:tcPr>
          <w:p w:rsidR="006A4967" w:rsidRDefault="006424F3" w:rsidP="006D190A">
            <w:pPr>
              <w:spacing w:after="0"/>
              <w:contextualSpacing w:val="0"/>
              <w:rPr>
                <w:rFonts w:eastAsia="Times New Roman" w:cs="Times New Roman"/>
                <w:color w:val="000000"/>
                <w:szCs w:val="24"/>
              </w:rPr>
            </w:pPr>
            <w:r w:rsidRPr="007E74A8">
              <w:rPr>
                <w:rFonts w:eastAsia="Times New Roman" w:cs="Times New Roman"/>
                <w:color w:val="000000"/>
                <w:szCs w:val="24"/>
              </w:rPr>
              <w:lastRenderedPageBreak/>
              <w:t>Table</w:t>
            </w:r>
            <w:r>
              <w:rPr>
                <w:rFonts w:eastAsia="Times New Roman" w:cs="Times New Roman"/>
                <w:color w:val="000000"/>
                <w:szCs w:val="24"/>
              </w:rPr>
              <w:t xml:space="preserve"> </w:t>
            </w:r>
            <w:r w:rsidR="006D190A">
              <w:rPr>
                <w:rFonts w:eastAsia="Times New Roman" w:cs="Times New Roman"/>
                <w:color w:val="000000"/>
                <w:szCs w:val="24"/>
              </w:rPr>
              <w:t>5</w:t>
            </w:r>
            <w:r>
              <w:rPr>
                <w:rFonts w:eastAsia="Times New Roman" w:cs="Times New Roman"/>
                <w:color w:val="000000"/>
                <w:szCs w:val="24"/>
              </w:rPr>
              <w:t>.</w:t>
            </w:r>
            <w:r w:rsidRPr="007E74A8">
              <w:rPr>
                <w:rFonts w:eastAsia="Times New Roman" w:cs="Times New Roman"/>
                <w:color w:val="000000"/>
                <w:szCs w:val="24"/>
              </w:rPr>
              <w:t xml:space="preserve"> DD Effects for </w:t>
            </w:r>
            <w:r w:rsidR="0011344C">
              <w:rPr>
                <w:rFonts w:eastAsia="Times New Roman" w:cs="Times New Roman"/>
                <w:color w:val="000000"/>
                <w:szCs w:val="24"/>
              </w:rPr>
              <w:t xml:space="preserve">Interaction of </w:t>
            </w:r>
            <w:r w:rsidRPr="007E74A8">
              <w:rPr>
                <w:rFonts w:eastAsia="Times New Roman" w:cs="Times New Roman"/>
                <w:color w:val="000000"/>
                <w:szCs w:val="24"/>
              </w:rPr>
              <w:t xml:space="preserve">Predicted HOPE and Post-HOPE </w:t>
            </w:r>
            <w:r w:rsidR="0011344C">
              <w:rPr>
                <w:rFonts w:eastAsia="Times New Roman" w:cs="Times New Roman"/>
                <w:color w:val="000000"/>
                <w:szCs w:val="24"/>
              </w:rPr>
              <w:t>Dummy</w:t>
            </w:r>
          </w:p>
        </w:tc>
      </w:tr>
      <w:tr w:rsidR="006424F3" w:rsidRPr="007E74A8" w:rsidTr="0011344C">
        <w:trPr>
          <w:trHeight w:val="312"/>
        </w:trPr>
        <w:tc>
          <w:tcPr>
            <w:tcW w:w="3115" w:type="dxa"/>
            <w:tcBorders>
              <w:top w:val="single" w:sz="4" w:space="0" w:color="auto"/>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u w:val="single"/>
              </w:rPr>
            </w:pPr>
            <w:r w:rsidRPr="007E74A8">
              <w:rPr>
                <w:rFonts w:eastAsia="Times New Roman" w:cs="Times New Roman"/>
                <w:color w:val="000000"/>
                <w:szCs w:val="24"/>
                <w:u w:val="single"/>
              </w:rPr>
              <w:t>First Stage</w:t>
            </w:r>
          </w:p>
        </w:tc>
        <w:tc>
          <w:tcPr>
            <w:tcW w:w="1220" w:type="dxa"/>
            <w:tcBorders>
              <w:top w:val="single" w:sz="4" w:space="0" w:color="auto"/>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 </w:t>
            </w:r>
          </w:p>
        </w:tc>
        <w:tc>
          <w:tcPr>
            <w:tcW w:w="1345" w:type="dxa"/>
            <w:tcBorders>
              <w:top w:val="single" w:sz="4" w:space="0" w:color="auto"/>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 </w:t>
            </w:r>
          </w:p>
        </w:tc>
        <w:tc>
          <w:tcPr>
            <w:tcW w:w="1290" w:type="dxa"/>
            <w:tcBorders>
              <w:top w:val="single" w:sz="4" w:space="0" w:color="auto"/>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 </w:t>
            </w:r>
          </w:p>
        </w:tc>
        <w:tc>
          <w:tcPr>
            <w:tcW w:w="1550" w:type="dxa"/>
            <w:tcBorders>
              <w:top w:val="single" w:sz="4" w:space="0" w:color="auto"/>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 </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Race and Gender Dummies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High School Dummies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SAT Dummies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High School GPA Dummies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No</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No</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USG Institution Dummies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No</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No</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Yes</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Adjusted R</w:t>
            </w:r>
            <w:r w:rsidRPr="00E6069A">
              <w:rPr>
                <w:rFonts w:eastAsia="Times New Roman" w:cs="Times New Roman"/>
                <w:color w:val="000000"/>
                <w:szCs w:val="24"/>
                <w:vertAlign w:val="superscript"/>
              </w:rPr>
              <w:t>2</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0.223</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0.405</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0.259</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0.423</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u w:val="single"/>
              </w:rPr>
            </w:pPr>
            <w:r w:rsidRPr="007E74A8">
              <w:rPr>
                <w:rFonts w:eastAsia="Times New Roman" w:cs="Times New Roman"/>
                <w:color w:val="000000"/>
                <w:szCs w:val="24"/>
                <w:u w:val="single"/>
              </w:rPr>
              <w:t>DD Results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Four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-0.020*</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-0.001</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0.000</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(0.011)</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(0.008)</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(0.011)</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(0.008)</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Five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-0.037***</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-0.014*</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-0.028**</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-0.013</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(0.008)</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(0.011)</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(0.008)</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Six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-0.014</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-0.004</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-0.005</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(0.011)</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(0.008)</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Seven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-0.017</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-0.004</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-0.014</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-0.003</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(0.011)</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Eight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-0.025*</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-0.010</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-0.023**</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-0.010</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(0.013)</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Nine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-0.033**</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-0.019**</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-0.029**</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-0.016*</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(0.013)</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Ten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-0.029**</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-0.018*</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-0.024**</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-0.016*</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(0.013)</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(0.010)</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(0.012)</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(0.009)</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Eleven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-0.036***</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-0.034***</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-0.028**</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-0.031***</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(0.013)</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(0.010)</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(0.013)</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(0.010)</w:t>
            </w:r>
          </w:p>
        </w:tc>
      </w:tr>
      <w:tr w:rsidR="006424F3" w:rsidRPr="007E74A8" w:rsidTr="0011344C">
        <w:trPr>
          <w:trHeight w:val="312"/>
        </w:trPr>
        <w:tc>
          <w:tcPr>
            <w:tcW w:w="311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Twelve Years after HS</w:t>
            </w:r>
          </w:p>
        </w:tc>
        <w:tc>
          <w:tcPr>
            <w:tcW w:w="122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-0.023*</w:t>
            </w:r>
          </w:p>
        </w:tc>
        <w:tc>
          <w:tcPr>
            <w:tcW w:w="1345"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-0.029***</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-0.020</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-0.025**</w:t>
            </w:r>
          </w:p>
        </w:tc>
      </w:tr>
      <w:tr w:rsidR="006424F3" w:rsidRPr="007E74A8" w:rsidTr="0011344C">
        <w:trPr>
          <w:trHeight w:val="312"/>
        </w:trPr>
        <w:tc>
          <w:tcPr>
            <w:tcW w:w="3115" w:type="dxa"/>
            <w:tcBorders>
              <w:top w:val="nil"/>
              <w:left w:val="nil"/>
              <w:bottom w:val="single" w:sz="4" w:space="0" w:color="auto"/>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 </w:t>
            </w:r>
          </w:p>
        </w:tc>
        <w:tc>
          <w:tcPr>
            <w:tcW w:w="1220" w:type="dxa"/>
            <w:tcBorders>
              <w:top w:val="nil"/>
              <w:left w:val="nil"/>
              <w:bottom w:val="single" w:sz="4" w:space="0" w:color="auto"/>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(0.014)</w:t>
            </w:r>
          </w:p>
        </w:tc>
        <w:tc>
          <w:tcPr>
            <w:tcW w:w="1345" w:type="dxa"/>
            <w:tcBorders>
              <w:top w:val="nil"/>
              <w:left w:val="nil"/>
              <w:bottom w:val="single" w:sz="4" w:space="0" w:color="auto"/>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(0.010)</w:t>
            </w:r>
          </w:p>
        </w:tc>
        <w:tc>
          <w:tcPr>
            <w:tcW w:w="1290" w:type="dxa"/>
            <w:tcBorders>
              <w:top w:val="nil"/>
              <w:left w:val="nil"/>
              <w:bottom w:val="single" w:sz="4" w:space="0" w:color="auto"/>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(0.013)</w:t>
            </w:r>
          </w:p>
        </w:tc>
        <w:tc>
          <w:tcPr>
            <w:tcW w:w="1550" w:type="dxa"/>
            <w:tcBorders>
              <w:top w:val="nil"/>
              <w:left w:val="nil"/>
              <w:bottom w:val="single" w:sz="4" w:space="0" w:color="auto"/>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r w:rsidRPr="007E74A8">
              <w:rPr>
                <w:rFonts w:eastAsia="Times New Roman" w:cs="Times New Roman"/>
                <w:color w:val="000000"/>
                <w:szCs w:val="24"/>
              </w:rPr>
              <w:t>(0.010)</w:t>
            </w:r>
          </w:p>
        </w:tc>
      </w:tr>
      <w:tr w:rsidR="006424F3" w:rsidRPr="007E74A8" w:rsidTr="0011344C">
        <w:trPr>
          <w:trHeight w:val="312"/>
        </w:trPr>
        <w:tc>
          <w:tcPr>
            <w:tcW w:w="5680" w:type="dxa"/>
            <w:gridSpan w:val="3"/>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Notes: OLS Standard errors in parentheses.</w:t>
            </w:r>
          </w:p>
        </w:tc>
        <w:tc>
          <w:tcPr>
            <w:tcW w:w="129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r>
      <w:tr w:rsidR="006424F3" w:rsidRPr="007E74A8" w:rsidTr="0011344C">
        <w:trPr>
          <w:trHeight w:val="312"/>
        </w:trPr>
        <w:tc>
          <w:tcPr>
            <w:tcW w:w="6970" w:type="dxa"/>
            <w:gridSpan w:val="4"/>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rPr>
                <w:rFonts w:eastAsia="Times New Roman" w:cs="Times New Roman"/>
                <w:color w:val="000000"/>
                <w:szCs w:val="24"/>
              </w:rPr>
            </w:pPr>
            <w:r w:rsidRPr="007E74A8">
              <w:rPr>
                <w:rFonts w:eastAsia="Times New Roman" w:cs="Times New Roman"/>
                <w:color w:val="000000"/>
                <w:szCs w:val="24"/>
              </w:rPr>
              <w:t>*Significant at 10%; **Significant at 5%; ***Significant at 1%.</w:t>
            </w:r>
          </w:p>
        </w:tc>
        <w:tc>
          <w:tcPr>
            <w:tcW w:w="1550" w:type="dxa"/>
            <w:tcBorders>
              <w:top w:val="nil"/>
              <w:left w:val="nil"/>
              <w:bottom w:val="nil"/>
              <w:right w:val="nil"/>
            </w:tcBorders>
            <w:shd w:val="clear" w:color="auto" w:fill="auto"/>
            <w:noWrap/>
            <w:vAlign w:val="bottom"/>
            <w:hideMark/>
          </w:tcPr>
          <w:p w:rsidR="006424F3" w:rsidRPr="007E74A8" w:rsidRDefault="006424F3" w:rsidP="0011344C">
            <w:pPr>
              <w:spacing w:after="0"/>
              <w:contextualSpacing w:val="0"/>
              <w:jc w:val="center"/>
              <w:rPr>
                <w:rFonts w:eastAsia="Times New Roman" w:cs="Times New Roman"/>
                <w:color w:val="000000"/>
                <w:szCs w:val="24"/>
              </w:rPr>
            </w:pPr>
          </w:p>
        </w:tc>
      </w:tr>
    </w:tbl>
    <w:p w:rsidR="005046C9" w:rsidRDefault="005046C9">
      <w:pPr>
        <w:spacing w:line="276" w:lineRule="auto"/>
        <w:contextualSpacing w:val="0"/>
        <w:rPr>
          <w:rFonts w:eastAsia="Times New Roman" w:cs="Times New Roman"/>
          <w:color w:val="000000"/>
          <w:szCs w:val="24"/>
        </w:rPr>
      </w:pPr>
    </w:p>
    <w:p w:rsidR="005046C9" w:rsidRDefault="005046C9">
      <w:pPr>
        <w:spacing w:line="276" w:lineRule="auto"/>
        <w:contextualSpacing w:val="0"/>
        <w:rPr>
          <w:rFonts w:eastAsia="Times New Roman" w:cs="Times New Roman"/>
          <w:color w:val="000000"/>
          <w:szCs w:val="24"/>
        </w:rPr>
      </w:pPr>
    </w:p>
    <w:p w:rsidR="0043589A" w:rsidRDefault="0043589A" w:rsidP="00BA4D1E">
      <w:pPr>
        <w:spacing w:after="0"/>
        <w:rPr>
          <w:rFonts w:eastAsia="Times New Roman" w:cs="Times New Roman"/>
          <w:color w:val="000000"/>
          <w:szCs w:val="24"/>
        </w:rPr>
        <w:sectPr w:rsidR="0043589A" w:rsidSect="00153408">
          <w:footerReference w:type="default" r:id="rId13"/>
          <w:footerReference w:type="first" r:id="rId14"/>
          <w:pgSz w:w="12240" w:h="15840"/>
          <w:pgMar w:top="1440" w:right="1440" w:bottom="1440" w:left="1440" w:header="720" w:footer="720" w:gutter="0"/>
          <w:pgNumType w:start="0"/>
          <w:cols w:space="720"/>
          <w:titlePg/>
          <w:docGrid w:linePitch="360"/>
        </w:sectPr>
      </w:pPr>
    </w:p>
    <w:tbl>
      <w:tblPr>
        <w:tblW w:w="12103" w:type="dxa"/>
        <w:tblInd w:w="378" w:type="dxa"/>
        <w:tblLook w:val="04A0" w:firstRow="1" w:lastRow="0" w:firstColumn="1" w:lastColumn="0" w:noHBand="0" w:noVBand="1"/>
      </w:tblPr>
      <w:tblGrid>
        <w:gridCol w:w="1510"/>
        <w:gridCol w:w="1256"/>
        <w:gridCol w:w="1001"/>
        <w:gridCol w:w="1001"/>
        <w:gridCol w:w="1072"/>
        <w:gridCol w:w="1001"/>
        <w:gridCol w:w="1040"/>
        <w:gridCol w:w="1071"/>
        <w:gridCol w:w="745"/>
        <w:gridCol w:w="295"/>
        <w:gridCol w:w="1040"/>
        <w:gridCol w:w="1071"/>
      </w:tblGrid>
      <w:tr w:rsidR="00BA4D1E" w:rsidRPr="00BA4D1E" w:rsidTr="00FA075A">
        <w:trPr>
          <w:gridAfter w:val="3"/>
          <w:wAfter w:w="2406" w:type="dxa"/>
          <w:trHeight w:val="315"/>
        </w:trPr>
        <w:tc>
          <w:tcPr>
            <w:tcW w:w="9697" w:type="dxa"/>
            <w:gridSpan w:val="9"/>
            <w:tcBorders>
              <w:top w:val="nil"/>
              <w:left w:val="nil"/>
              <w:bottom w:val="nil"/>
              <w:right w:val="nil"/>
            </w:tcBorders>
            <w:shd w:val="clear" w:color="auto" w:fill="auto"/>
            <w:noWrap/>
            <w:vAlign w:val="bottom"/>
            <w:hideMark/>
          </w:tcPr>
          <w:p w:rsidR="0043589A" w:rsidRDefault="0043589A" w:rsidP="00BA4D1E">
            <w:pPr>
              <w:spacing w:after="0"/>
              <w:rPr>
                <w:rFonts w:eastAsia="Times New Roman" w:cs="Times New Roman"/>
                <w:color w:val="000000"/>
                <w:szCs w:val="24"/>
              </w:rPr>
            </w:pPr>
          </w:p>
          <w:p w:rsidR="0043589A" w:rsidRPr="00BA4D1E" w:rsidRDefault="0043589A" w:rsidP="00BA4D1E">
            <w:pPr>
              <w:spacing w:after="0"/>
              <w:rPr>
                <w:rFonts w:eastAsia="Times New Roman" w:cs="Times New Roman"/>
                <w:color w:val="000000"/>
                <w:szCs w:val="24"/>
              </w:rPr>
            </w:pPr>
          </w:p>
        </w:tc>
      </w:tr>
      <w:tr w:rsidR="0043589A" w:rsidRPr="0043589A" w:rsidTr="00FA075A">
        <w:trPr>
          <w:trHeight w:val="264"/>
        </w:trPr>
        <w:tc>
          <w:tcPr>
            <w:tcW w:w="6841" w:type="dxa"/>
            <w:gridSpan w:val="6"/>
            <w:tcBorders>
              <w:top w:val="nil"/>
              <w:left w:val="nil"/>
              <w:bottom w:val="nil"/>
              <w:right w:val="nil"/>
            </w:tcBorders>
            <w:shd w:val="clear" w:color="auto" w:fill="auto"/>
            <w:noWrap/>
            <w:vAlign w:val="bottom"/>
            <w:hideMark/>
          </w:tcPr>
          <w:p w:rsidR="006A4967" w:rsidRDefault="0043589A" w:rsidP="006D190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Table</w:t>
            </w:r>
            <w:r>
              <w:rPr>
                <w:rFonts w:eastAsia="Times New Roman" w:cs="Times New Roman"/>
                <w:color w:val="000000"/>
                <w:sz w:val="20"/>
                <w:szCs w:val="20"/>
              </w:rPr>
              <w:t xml:space="preserve"> </w:t>
            </w:r>
            <w:r w:rsidR="006D190A">
              <w:rPr>
                <w:rFonts w:eastAsia="Times New Roman" w:cs="Times New Roman"/>
                <w:color w:val="000000"/>
                <w:sz w:val="20"/>
                <w:szCs w:val="20"/>
              </w:rPr>
              <w:t>6</w:t>
            </w:r>
            <w:r>
              <w:rPr>
                <w:rFonts w:eastAsia="Times New Roman" w:cs="Times New Roman"/>
                <w:color w:val="000000"/>
                <w:sz w:val="20"/>
                <w:szCs w:val="20"/>
              </w:rPr>
              <w:t>.</w:t>
            </w:r>
            <w:r w:rsidRPr="0043589A">
              <w:rPr>
                <w:rFonts w:eastAsia="Times New Roman" w:cs="Times New Roman"/>
                <w:color w:val="000000"/>
                <w:sz w:val="20"/>
                <w:szCs w:val="20"/>
              </w:rPr>
              <w:t xml:space="preserve"> HOPE Rec</w:t>
            </w:r>
            <w:r w:rsidR="0011344C">
              <w:rPr>
                <w:rFonts w:eastAsia="Times New Roman" w:cs="Times New Roman"/>
                <w:color w:val="000000"/>
                <w:sz w:val="20"/>
                <w:szCs w:val="20"/>
              </w:rPr>
              <w:t>ei</w:t>
            </w:r>
            <w:r w:rsidRPr="0043589A">
              <w:rPr>
                <w:rFonts w:eastAsia="Times New Roman" w:cs="Times New Roman"/>
                <w:color w:val="000000"/>
                <w:sz w:val="20"/>
                <w:szCs w:val="20"/>
              </w:rPr>
              <w:t>pt and Retention Rates in Georgia by Ability Decile</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r>
      <w:tr w:rsidR="00A27179" w:rsidRPr="0043589A" w:rsidTr="00FA075A">
        <w:trPr>
          <w:trHeight w:val="264"/>
        </w:trPr>
        <w:tc>
          <w:tcPr>
            <w:tcW w:w="2766" w:type="dxa"/>
            <w:gridSpan w:val="2"/>
            <w:tcBorders>
              <w:top w:val="single" w:sz="4" w:space="0" w:color="auto"/>
              <w:left w:val="nil"/>
              <w:bottom w:val="nil"/>
              <w:right w:val="nil"/>
            </w:tcBorders>
            <w:shd w:val="clear" w:color="auto" w:fill="auto"/>
            <w:noWrap/>
            <w:vAlign w:val="bottom"/>
            <w:hideMark/>
          </w:tcPr>
          <w:p w:rsidR="00582FA6" w:rsidRDefault="00A27179">
            <w:pPr>
              <w:spacing w:after="0"/>
              <w:contextualSpacing w:val="0"/>
              <w:jc w:val="right"/>
              <w:rPr>
                <w:rFonts w:eastAsia="Times New Roman" w:cs="Times New Roman"/>
                <w:color w:val="000000"/>
                <w:sz w:val="20"/>
                <w:szCs w:val="20"/>
              </w:rPr>
            </w:pPr>
            <w:r w:rsidRPr="0043589A">
              <w:rPr>
                <w:rFonts w:eastAsia="Times New Roman" w:cs="Times New Roman"/>
                <w:color w:val="000000"/>
                <w:sz w:val="20"/>
                <w:szCs w:val="20"/>
              </w:rPr>
              <w:t> HOPE</w:t>
            </w:r>
            <w:r>
              <w:rPr>
                <w:rFonts w:eastAsia="Times New Roman" w:cs="Times New Roman"/>
                <w:color w:val="000000"/>
                <w:sz w:val="20"/>
                <w:szCs w:val="20"/>
              </w:rPr>
              <w:t xml:space="preserve"> </w:t>
            </w:r>
            <w:r w:rsidRPr="0043589A">
              <w:rPr>
                <w:rFonts w:eastAsia="Times New Roman" w:cs="Times New Roman"/>
                <w:color w:val="000000"/>
                <w:sz w:val="20"/>
                <w:szCs w:val="20"/>
              </w:rPr>
              <w:t>Rec</w:t>
            </w:r>
            <w:r>
              <w:rPr>
                <w:rFonts w:eastAsia="Times New Roman" w:cs="Times New Roman"/>
                <w:color w:val="000000"/>
                <w:sz w:val="20"/>
                <w:szCs w:val="20"/>
              </w:rPr>
              <w:t>e</w:t>
            </w:r>
            <w:r w:rsidRPr="0043589A">
              <w:rPr>
                <w:rFonts w:eastAsia="Times New Roman" w:cs="Times New Roman"/>
                <w:color w:val="000000"/>
                <w:sz w:val="20"/>
                <w:szCs w:val="20"/>
              </w:rPr>
              <w:t>ipt</w:t>
            </w:r>
          </w:p>
        </w:tc>
        <w:tc>
          <w:tcPr>
            <w:tcW w:w="3074" w:type="dxa"/>
            <w:gridSpan w:val="3"/>
            <w:tcBorders>
              <w:top w:val="single" w:sz="4" w:space="0" w:color="auto"/>
              <w:left w:val="nil"/>
              <w:bottom w:val="nil"/>
              <w:right w:val="nil"/>
            </w:tcBorders>
            <w:shd w:val="clear" w:color="auto" w:fill="auto"/>
            <w:noWrap/>
            <w:vAlign w:val="bottom"/>
            <w:hideMark/>
          </w:tcPr>
          <w:p w:rsidR="00A27179" w:rsidRPr="0043589A" w:rsidRDefault="00A27179"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10 Years after HS</w:t>
            </w:r>
          </w:p>
        </w:tc>
        <w:tc>
          <w:tcPr>
            <w:tcW w:w="3112" w:type="dxa"/>
            <w:gridSpan w:val="3"/>
            <w:tcBorders>
              <w:top w:val="single" w:sz="4" w:space="0" w:color="auto"/>
              <w:left w:val="nil"/>
              <w:bottom w:val="nil"/>
              <w:right w:val="nil"/>
            </w:tcBorders>
            <w:shd w:val="clear" w:color="auto" w:fill="auto"/>
            <w:noWrap/>
            <w:vAlign w:val="bottom"/>
            <w:hideMark/>
          </w:tcPr>
          <w:p w:rsidR="00A27179" w:rsidRPr="0043589A" w:rsidRDefault="00A27179"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11 Years after HS</w:t>
            </w:r>
          </w:p>
        </w:tc>
        <w:tc>
          <w:tcPr>
            <w:tcW w:w="3151" w:type="dxa"/>
            <w:gridSpan w:val="4"/>
            <w:tcBorders>
              <w:top w:val="single" w:sz="4" w:space="0" w:color="auto"/>
              <w:left w:val="nil"/>
              <w:bottom w:val="nil"/>
              <w:right w:val="nil"/>
            </w:tcBorders>
            <w:shd w:val="clear" w:color="auto" w:fill="auto"/>
            <w:noWrap/>
            <w:vAlign w:val="bottom"/>
            <w:hideMark/>
          </w:tcPr>
          <w:p w:rsidR="00A27179" w:rsidRPr="0043589A" w:rsidRDefault="00A27179"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12 Years after HS</w:t>
            </w:r>
          </w:p>
        </w:tc>
      </w:tr>
      <w:tr w:rsidR="0043589A" w:rsidRPr="0043589A" w:rsidTr="00FA075A">
        <w:trPr>
          <w:trHeight w:val="264"/>
        </w:trPr>
        <w:tc>
          <w:tcPr>
            <w:tcW w:w="151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 </w:t>
            </w:r>
          </w:p>
        </w:tc>
        <w:tc>
          <w:tcPr>
            <w:tcW w:w="1256" w:type="dxa"/>
            <w:tcBorders>
              <w:top w:val="nil"/>
              <w:left w:val="nil"/>
              <w:bottom w:val="single" w:sz="4" w:space="0" w:color="auto"/>
              <w:right w:val="nil"/>
            </w:tcBorders>
            <w:shd w:val="clear" w:color="auto" w:fill="auto"/>
            <w:noWrap/>
            <w:vAlign w:val="bottom"/>
            <w:hideMark/>
          </w:tcPr>
          <w:p w:rsidR="00A27179"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w:t>
            </w:r>
          </w:p>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1996</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2"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c>
          <w:tcPr>
            <w:tcW w:w="1040" w:type="dxa"/>
            <w:gridSpan w:val="2"/>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Bottom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0.117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0.746</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0.729</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0.001</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0.715</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0.711</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0.004</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Second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0.369</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0.738</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0.760</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0.003</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0.717</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0.713</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0.005</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Third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0.593</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0.742</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0.734</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0.712</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0.022**</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0.714</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0.698</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0.017*</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Fourth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0.733</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0.750</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-0.006</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0.732</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0.726</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0.006</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0.718</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0.704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0.014</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Fifth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0.753</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0.719</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0.729</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-0.010</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0.708</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0.712</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-0.004</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Sixth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0.877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0.738</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0.709</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-0.005</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0.687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0.009</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Seventh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0.901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0.749</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 xml:space="preserve">-0.023** </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0.702</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0.728</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-0.025***</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0.691</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0.711</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-0.020**</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Eight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0.924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0.729</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0.709</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-0.018*</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0.680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0.688</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-0.008</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Ninth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0.936</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0.682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0.717</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0.664</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0.693</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-0.028***</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0.650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0.671</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-0.021**</w:t>
            </w:r>
          </w:p>
        </w:tc>
      </w:tr>
      <w:tr w:rsidR="0043589A" w:rsidRPr="0043589A" w:rsidTr="00FA075A">
        <w:trPr>
          <w:trHeight w:val="264"/>
        </w:trPr>
        <w:tc>
          <w:tcPr>
            <w:tcW w:w="151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Top Decile</w:t>
            </w:r>
          </w:p>
        </w:tc>
        <w:tc>
          <w:tcPr>
            <w:tcW w:w="1256"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0.949</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0.620</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0.671</w:t>
            </w:r>
          </w:p>
        </w:tc>
        <w:tc>
          <w:tcPr>
            <w:tcW w:w="1072"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-0.050***</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0.606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0.647</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-0.041***</w:t>
            </w:r>
          </w:p>
        </w:tc>
        <w:tc>
          <w:tcPr>
            <w:tcW w:w="1040" w:type="dxa"/>
            <w:gridSpan w:val="2"/>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0.588</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0.632</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-0.044***</w:t>
            </w:r>
          </w:p>
        </w:tc>
      </w:tr>
      <w:tr w:rsidR="00FA075A" w:rsidRPr="0043589A" w:rsidTr="00FA075A">
        <w:trPr>
          <w:trHeight w:val="264"/>
        </w:trPr>
        <w:tc>
          <w:tcPr>
            <w:tcW w:w="12103" w:type="dxa"/>
            <w:gridSpan w:val="12"/>
            <w:tcBorders>
              <w:top w:val="nil"/>
              <w:left w:val="nil"/>
              <w:bottom w:val="nil"/>
              <w:right w:val="nil"/>
            </w:tcBorders>
            <w:shd w:val="clear" w:color="auto" w:fill="auto"/>
            <w:noWrap/>
            <w:vAlign w:val="bottom"/>
            <w:hideMark/>
          </w:tcPr>
          <w:p w:rsidR="00FA075A" w:rsidRDefault="00FA075A" w:rsidP="0043589A">
            <w:pPr>
              <w:spacing w:after="0"/>
              <w:contextualSpacing w:val="0"/>
              <w:jc w:val="center"/>
              <w:rPr>
                <w:rFonts w:eastAsia="Times New Roman" w:cs="Times New Roman"/>
                <w:color w:val="000000"/>
                <w:sz w:val="20"/>
                <w:szCs w:val="20"/>
              </w:rPr>
            </w:pPr>
          </w:p>
          <w:p w:rsidR="00FA075A" w:rsidRPr="0043589A" w:rsidRDefault="00FA075A" w:rsidP="0043589A">
            <w:pPr>
              <w:spacing w:after="0"/>
              <w:contextualSpacing w:val="0"/>
              <w:jc w:val="center"/>
              <w:rPr>
                <w:rFonts w:eastAsia="Times New Roman" w:cs="Times New Roman"/>
                <w:color w:val="000000"/>
                <w:sz w:val="20"/>
                <w:szCs w:val="20"/>
              </w:rPr>
            </w:pPr>
          </w:p>
        </w:tc>
      </w:tr>
      <w:tr w:rsidR="00FA075A" w:rsidRPr="0043589A" w:rsidTr="00FA075A">
        <w:trPr>
          <w:trHeight w:val="264"/>
        </w:trPr>
        <w:tc>
          <w:tcPr>
            <w:tcW w:w="12103" w:type="dxa"/>
            <w:gridSpan w:val="12"/>
            <w:tcBorders>
              <w:top w:val="nil"/>
              <w:left w:val="nil"/>
              <w:bottom w:val="nil"/>
              <w:right w:val="nil"/>
            </w:tcBorders>
            <w:shd w:val="clear" w:color="auto" w:fill="auto"/>
            <w:noWrap/>
            <w:vAlign w:val="bottom"/>
            <w:hideMark/>
          </w:tcPr>
          <w:p w:rsidR="00FA075A" w:rsidRDefault="00FA075A" w:rsidP="0043589A">
            <w:pPr>
              <w:spacing w:after="0"/>
              <w:contextualSpacing w:val="0"/>
              <w:jc w:val="center"/>
              <w:rPr>
                <w:rFonts w:eastAsia="Times New Roman" w:cs="Times New Roman"/>
                <w:color w:val="000000"/>
                <w:sz w:val="20"/>
                <w:szCs w:val="20"/>
              </w:rPr>
            </w:pPr>
          </w:p>
        </w:tc>
      </w:tr>
      <w:tr w:rsidR="0043589A" w:rsidRPr="0043589A" w:rsidTr="00FA075A">
        <w:trPr>
          <w:trHeight w:val="264"/>
        </w:trPr>
        <w:tc>
          <w:tcPr>
            <w:tcW w:w="1510" w:type="dxa"/>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 </w:t>
            </w:r>
          </w:p>
        </w:tc>
        <w:tc>
          <w:tcPr>
            <w:tcW w:w="1256" w:type="dxa"/>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 </w:t>
            </w:r>
          </w:p>
        </w:tc>
        <w:tc>
          <w:tcPr>
            <w:tcW w:w="3074" w:type="dxa"/>
            <w:gridSpan w:val="3"/>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7 Years after HS</w:t>
            </w:r>
          </w:p>
        </w:tc>
        <w:tc>
          <w:tcPr>
            <w:tcW w:w="3112" w:type="dxa"/>
            <w:gridSpan w:val="3"/>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8 Years after HS</w:t>
            </w:r>
          </w:p>
        </w:tc>
        <w:tc>
          <w:tcPr>
            <w:tcW w:w="3151" w:type="dxa"/>
            <w:gridSpan w:val="4"/>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9 Years after HS</w:t>
            </w:r>
          </w:p>
        </w:tc>
      </w:tr>
      <w:tr w:rsidR="0043589A" w:rsidRPr="0043589A" w:rsidTr="00FA075A">
        <w:trPr>
          <w:trHeight w:val="264"/>
        </w:trPr>
        <w:tc>
          <w:tcPr>
            <w:tcW w:w="151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 </w:t>
            </w:r>
          </w:p>
        </w:tc>
        <w:tc>
          <w:tcPr>
            <w:tcW w:w="1256"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 </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2"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c>
          <w:tcPr>
            <w:tcW w:w="1040" w:type="dxa"/>
            <w:gridSpan w:val="2"/>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Bottom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0.798</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0.754</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0.779</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-0.025***</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0.745</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0.766</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-0.021**</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Second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0.802</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0.788</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-0.022**</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0.749</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0.779</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-0.029***</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Third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0.799</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0.762</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-0.015</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0.766</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-0.010</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Fourth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0.813</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-0.026***</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0.773</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-0.024***</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0.775</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-0.015*</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Fifth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0.788</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0.812</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0.763</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0.789</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-0.026***</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0.749</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-0.028***</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Sixth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0.796</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0.751</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0.776</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-0.025***</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0.734</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0.766</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-0.032***</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Seventh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0.802</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-0.030***</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0.753</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-0.031***</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0.770</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-0.035***</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Eight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0.756</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0.791</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0.732</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0.775</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-0.043***</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0.750</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-0.035***</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Ninth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0.776</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0.719</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0.760</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-0.041***</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0.700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0.742</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-0.042***</w:t>
            </w:r>
          </w:p>
        </w:tc>
      </w:tr>
      <w:tr w:rsidR="0043589A" w:rsidRPr="0043589A" w:rsidTr="00FA075A">
        <w:trPr>
          <w:trHeight w:val="264"/>
        </w:trPr>
        <w:tc>
          <w:tcPr>
            <w:tcW w:w="151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Top Decile</w:t>
            </w:r>
          </w:p>
        </w:tc>
        <w:tc>
          <w:tcPr>
            <w:tcW w:w="1256"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 </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0.669</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0.718</w:t>
            </w:r>
          </w:p>
        </w:tc>
        <w:tc>
          <w:tcPr>
            <w:tcW w:w="1072"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-0.050***</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0.650</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0.713</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-0.063***</w:t>
            </w:r>
          </w:p>
        </w:tc>
        <w:tc>
          <w:tcPr>
            <w:tcW w:w="1040" w:type="dxa"/>
            <w:gridSpan w:val="2"/>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0.638</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0.697</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-0.059***</w:t>
            </w:r>
          </w:p>
        </w:tc>
      </w:tr>
      <w:tr w:rsidR="00FA075A" w:rsidRPr="0043589A" w:rsidTr="00582FA6">
        <w:trPr>
          <w:trHeight w:val="264"/>
        </w:trPr>
        <w:tc>
          <w:tcPr>
            <w:tcW w:w="12103" w:type="dxa"/>
            <w:gridSpan w:val="12"/>
            <w:tcBorders>
              <w:top w:val="nil"/>
              <w:left w:val="nil"/>
              <w:bottom w:val="nil"/>
              <w:right w:val="nil"/>
            </w:tcBorders>
            <w:shd w:val="clear" w:color="auto" w:fill="auto"/>
            <w:noWrap/>
            <w:vAlign w:val="bottom"/>
            <w:hideMark/>
          </w:tcPr>
          <w:p w:rsidR="00FA075A" w:rsidRDefault="00FA075A" w:rsidP="00582FA6">
            <w:pPr>
              <w:spacing w:after="0"/>
              <w:contextualSpacing w:val="0"/>
              <w:jc w:val="center"/>
              <w:rPr>
                <w:rFonts w:eastAsia="Times New Roman" w:cs="Times New Roman"/>
                <w:color w:val="000000"/>
                <w:sz w:val="20"/>
                <w:szCs w:val="20"/>
              </w:rPr>
            </w:pPr>
          </w:p>
        </w:tc>
      </w:tr>
      <w:tr w:rsidR="00FA075A" w:rsidRPr="0043589A" w:rsidTr="00582FA6">
        <w:trPr>
          <w:trHeight w:val="264"/>
        </w:trPr>
        <w:tc>
          <w:tcPr>
            <w:tcW w:w="12103" w:type="dxa"/>
            <w:gridSpan w:val="12"/>
            <w:tcBorders>
              <w:top w:val="nil"/>
              <w:left w:val="nil"/>
              <w:bottom w:val="nil"/>
              <w:right w:val="nil"/>
            </w:tcBorders>
            <w:shd w:val="clear" w:color="auto" w:fill="auto"/>
            <w:noWrap/>
            <w:vAlign w:val="bottom"/>
            <w:hideMark/>
          </w:tcPr>
          <w:p w:rsidR="00FA075A" w:rsidRDefault="00FA075A" w:rsidP="00582FA6">
            <w:pPr>
              <w:spacing w:after="0"/>
              <w:contextualSpacing w:val="0"/>
              <w:jc w:val="center"/>
              <w:rPr>
                <w:rFonts w:eastAsia="Times New Roman" w:cs="Times New Roman"/>
                <w:color w:val="000000"/>
                <w:sz w:val="20"/>
                <w:szCs w:val="20"/>
              </w:rPr>
            </w:pP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43589A" w:rsidRDefault="0043589A" w:rsidP="0043589A">
            <w:pPr>
              <w:spacing w:after="0"/>
              <w:contextualSpacing w:val="0"/>
              <w:jc w:val="center"/>
              <w:rPr>
                <w:rFonts w:eastAsia="Times New Roman" w:cs="Times New Roman"/>
                <w:color w:val="000000"/>
                <w:sz w:val="20"/>
                <w:szCs w:val="20"/>
              </w:rPr>
            </w:pPr>
          </w:p>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r>
      <w:tr w:rsidR="0043589A" w:rsidRPr="0043589A" w:rsidTr="00FA075A">
        <w:trPr>
          <w:trHeight w:val="264"/>
        </w:trPr>
        <w:tc>
          <w:tcPr>
            <w:tcW w:w="1510" w:type="dxa"/>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lastRenderedPageBreak/>
              <w:t> </w:t>
            </w:r>
          </w:p>
        </w:tc>
        <w:tc>
          <w:tcPr>
            <w:tcW w:w="1256" w:type="dxa"/>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 </w:t>
            </w:r>
          </w:p>
        </w:tc>
        <w:tc>
          <w:tcPr>
            <w:tcW w:w="3074" w:type="dxa"/>
            <w:gridSpan w:val="3"/>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4 Years after HS</w:t>
            </w:r>
          </w:p>
        </w:tc>
        <w:tc>
          <w:tcPr>
            <w:tcW w:w="3112" w:type="dxa"/>
            <w:gridSpan w:val="3"/>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5 Years after HS</w:t>
            </w:r>
          </w:p>
        </w:tc>
        <w:tc>
          <w:tcPr>
            <w:tcW w:w="3151" w:type="dxa"/>
            <w:gridSpan w:val="4"/>
            <w:tcBorders>
              <w:top w:val="single" w:sz="4" w:space="0" w:color="auto"/>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Employed in GA 6 Years after HS</w:t>
            </w:r>
          </w:p>
        </w:tc>
      </w:tr>
      <w:tr w:rsidR="0043589A" w:rsidRPr="0043589A" w:rsidTr="00FA075A">
        <w:trPr>
          <w:trHeight w:val="264"/>
        </w:trPr>
        <w:tc>
          <w:tcPr>
            <w:tcW w:w="151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 </w:t>
            </w:r>
          </w:p>
        </w:tc>
        <w:tc>
          <w:tcPr>
            <w:tcW w:w="1256"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 </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2"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c>
          <w:tcPr>
            <w:tcW w:w="1040" w:type="dxa"/>
            <w:gridSpan w:val="2"/>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1995-1996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1990-1991</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Difference</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Bottom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0.826</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-0.002</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0.814</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0.815</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-0.001</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0.793</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-0.011</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Second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0.829</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0.825</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0.814</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0.822</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-0.008</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0.795</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-0.012</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Third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0.835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0.820</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0.831</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0.007</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0.811</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0.815</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-0.004</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Fourth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0.829</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0.823</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0.006</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0.815</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-0.012</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0.805</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0.825</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-0.020**</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Fifth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0.828</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0.820</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0.819</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-0.008</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0.805</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-0.019**</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Sixth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0.815</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0.825</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-0.010</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0.826</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-0.010</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0.813</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-0.018**</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Seventh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0.823</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0.003</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0.817</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0.831</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-0.014*</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0.786</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0.817</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-0.031***</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Eight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0.814</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0.821</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-0.007</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0.807</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0.818</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-0.012</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0.783</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-0.021**</w:t>
            </w:r>
          </w:p>
        </w:tc>
      </w:tr>
      <w:tr w:rsidR="0043589A" w:rsidRPr="0043589A" w:rsidTr="00FA075A">
        <w:trPr>
          <w:trHeight w:val="264"/>
        </w:trPr>
        <w:tc>
          <w:tcPr>
            <w:tcW w:w="151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Ninth Decile</w:t>
            </w:r>
          </w:p>
        </w:tc>
        <w:tc>
          <w:tcPr>
            <w:tcW w:w="1256"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0.801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0.815</w:t>
            </w:r>
          </w:p>
        </w:tc>
        <w:tc>
          <w:tcPr>
            <w:tcW w:w="1072"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-0.013</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0.791</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0.824</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-0.032***</w:t>
            </w: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0.770</w:t>
            </w: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0.798</w:t>
            </w: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-0.028***</w:t>
            </w:r>
          </w:p>
        </w:tc>
      </w:tr>
      <w:tr w:rsidR="0043589A" w:rsidRPr="0043589A" w:rsidTr="00FA075A">
        <w:trPr>
          <w:trHeight w:val="264"/>
        </w:trPr>
        <w:tc>
          <w:tcPr>
            <w:tcW w:w="151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Top Decile</w:t>
            </w:r>
          </w:p>
        </w:tc>
        <w:tc>
          <w:tcPr>
            <w:tcW w:w="1256"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 </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0.773</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0.778</w:t>
            </w:r>
          </w:p>
        </w:tc>
        <w:tc>
          <w:tcPr>
            <w:tcW w:w="1072"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-0.005</w:t>
            </w:r>
          </w:p>
        </w:tc>
        <w:tc>
          <w:tcPr>
            <w:tcW w:w="100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0.726</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0.765</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-0.039***</w:t>
            </w:r>
          </w:p>
        </w:tc>
        <w:tc>
          <w:tcPr>
            <w:tcW w:w="1040" w:type="dxa"/>
            <w:gridSpan w:val="2"/>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0.699</w:t>
            </w:r>
          </w:p>
        </w:tc>
        <w:tc>
          <w:tcPr>
            <w:tcW w:w="1040"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0.735</w:t>
            </w:r>
          </w:p>
        </w:tc>
        <w:tc>
          <w:tcPr>
            <w:tcW w:w="1071" w:type="dxa"/>
            <w:tcBorders>
              <w:top w:val="nil"/>
              <w:left w:val="nil"/>
              <w:bottom w:val="single" w:sz="4" w:space="0" w:color="auto"/>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r w:rsidRPr="0043589A">
              <w:rPr>
                <w:rFonts w:eastAsia="Times New Roman" w:cs="Times New Roman"/>
                <w:color w:val="000000"/>
                <w:sz w:val="20"/>
                <w:szCs w:val="20"/>
              </w:rPr>
              <w:t>-0.036***</w:t>
            </w:r>
          </w:p>
        </w:tc>
      </w:tr>
      <w:tr w:rsidR="0043589A" w:rsidRPr="0043589A" w:rsidTr="00FA075A">
        <w:trPr>
          <w:trHeight w:val="264"/>
        </w:trPr>
        <w:tc>
          <w:tcPr>
            <w:tcW w:w="5840" w:type="dxa"/>
            <w:gridSpan w:val="5"/>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rPr>
                <w:rFonts w:eastAsia="Times New Roman" w:cs="Times New Roman"/>
                <w:color w:val="000000"/>
                <w:sz w:val="20"/>
                <w:szCs w:val="20"/>
              </w:rPr>
            </w:pPr>
            <w:r w:rsidRPr="0043589A">
              <w:rPr>
                <w:rFonts w:eastAsia="Times New Roman" w:cs="Times New Roman"/>
                <w:color w:val="000000"/>
                <w:sz w:val="20"/>
                <w:szCs w:val="20"/>
              </w:rPr>
              <w:t>*Significant at 10%; **Significant at 5%; ***Significant at 1%.</w:t>
            </w:r>
          </w:p>
        </w:tc>
        <w:tc>
          <w:tcPr>
            <w:tcW w:w="100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40"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c>
          <w:tcPr>
            <w:tcW w:w="1071" w:type="dxa"/>
            <w:tcBorders>
              <w:top w:val="nil"/>
              <w:left w:val="nil"/>
              <w:bottom w:val="nil"/>
              <w:right w:val="nil"/>
            </w:tcBorders>
            <w:shd w:val="clear" w:color="auto" w:fill="auto"/>
            <w:noWrap/>
            <w:vAlign w:val="bottom"/>
            <w:hideMark/>
          </w:tcPr>
          <w:p w:rsidR="0043589A" w:rsidRPr="0043589A" w:rsidRDefault="0043589A" w:rsidP="0043589A">
            <w:pPr>
              <w:spacing w:after="0"/>
              <w:contextualSpacing w:val="0"/>
              <w:jc w:val="center"/>
              <w:rPr>
                <w:rFonts w:eastAsia="Times New Roman" w:cs="Times New Roman"/>
                <w:color w:val="000000"/>
                <w:sz w:val="20"/>
                <w:szCs w:val="20"/>
              </w:rPr>
            </w:pPr>
          </w:p>
        </w:tc>
      </w:tr>
    </w:tbl>
    <w:p w:rsidR="00AF5D45" w:rsidRDefault="00AF5D45">
      <w:pPr>
        <w:spacing w:line="276" w:lineRule="auto"/>
        <w:contextualSpacing w:val="0"/>
        <w:rPr>
          <w:rFonts w:cs="Times New Roman"/>
          <w:szCs w:val="24"/>
        </w:rPr>
      </w:pPr>
    </w:p>
    <w:p w:rsidR="00D07DF9" w:rsidRDefault="00D07DF9">
      <w:pPr>
        <w:spacing w:line="276" w:lineRule="auto"/>
        <w:contextualSpacing w:val="0"/>
        <w:rPr>
          <w:rFonts w:cs="Times New Roman"/>
          <w:szCs w:val="24"/>
        </w:rPr>
      </w:pPr>
      <w:r>
        <w:rPr>
          <w:rFonts w:cs="Times New Roman"/>
          <w:szCs w:val="24"/>
        </w:rPr>
        <w:br w:type="page"/>
      </w:r>
    </w:p>
    <w:p w:rsidR="00D07DF9" w:rsidRDefault="00D07DF9" w:rsidP="005046C9">
      <w:pPr>
        <w:spacing w:after="0"/>
        <w:rPr>
          <w:rFonts w:cs="Times New Roman"/>
          <w:szCs w:val="24"/>
        </w:rPr>
        <w:sectPr w:rsidR="00D07DF9" w:rsidSect="005046C9">
          <w:pgSz w:w="15840" w:h="12240" w:orient="landscape"/>
          <w:pgMar w:top="1440" w:right="1440" w:bottom="1440" w:left="1440" w:header="720" w:footer="720" w:gutter="0"/>
          <w:cols w:space="720"/>
          <w:docGrid w:linePitch="360"/>
        </w:sectPr>
      </w:pPr>
    </w:p>
    <w:tbl>
      <w:tblPr>
        <w:tblW w:w="9390" w:type="dxa"/>
        <w:tblInd w:w="93" w:type="dxa"/>
        <w:tblLook w:val="04A0" w:firstRow="1" w:lastRow="0" w:firstColumn="1" w:lastColumn="0" w:noHBand="0" w:noVBand="1"/>
      </w:tblPr>
      <w:tblGrid>
        <w:gridCol w:w="1790"/>
        <w:gridCol w:w="1524"/>
        <w:gridCol w:w="2186"/>
        <w:gridCol w:w="1945"/>
        <w:gridCol w:w="1852"/>
        <w:gridCol w:w="93"/>
      </w:tblGrid>
      <w:tr w:rsidR="00505B44" w:rsidRPr="00505B44" w:rsidTr="00505B44">
        <w:trPr>
          <w:gridAfter w:val="1"/>
          <w:wAfter w:w="93" w:type="dxa"/>
          <w:trHeight w:val="264"/>
        </w:trPr>
        <w:tc>
          <w:tcPr>
            <w:tcW w:w="9297" w:type="dxa"/>
            <w:gridSpan w:val="5"/>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r w:rsidRPr="00505B44">
              <w:rPr>
                <w:rFonts w:eastAsia="Times New Roman" w:cs="Times New Roman"/>
                <w:color w:val="000000"/>
                <w:sz w:val="20"/>
                <w:szCs w:val="20"/>
              </w:rPr>
              <w:lastRenderedPageBreak/>
              <w:t>Table 7: Effects of HOPE on Unconditional Post-College Retention in Georgia, Census and ACS PUMS</w:t>
            </w:r>
          </w:p>
        </w:tc>
      </w:tr>
      <w:tr w:rsidR="00505B44" w:rsidRPr="00505B44" w:rsidTr="00505B44">
        <w:trPr>
          <w:trHeight w:val="255"/>
        </w:trPr>
        <w:tc>
          <w:tcPr>
            <w:tcW w:w="1790" w:type="dxa"/>
            <w:tcBorders>
              <w:top w:val="single" w:sz="4" w:space="0" w:color="auto"/>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r w:rsidRPr="00505B44">
              <w:rPr>
                <w:rFonts w:eastAsia="Times New Roman" w:cs="Times New Roman"/>
                <w:color w:val="000000"/>
                <w:sz w:val="20"/>
                <w:szCs w:val="20"/>
              </w:rPr>
              <w:t> </w:t>
            </w:r>
          </w:p>
        </w:tc>
        <w:tc>
          <w:tcPr>
            <w:tcW w:w="1524" w:type="dxa"/>
            <w:tcBorders>
              <w:top w:val="single" w:sz="4" w:space="0" w:color="auto"/>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(1)</w:t>
            </w:r>
          </w:p>
        </w:tc>
        <w:tc>
          <w:tcPr>
            <w:tcW w:w="2186" w:type="dxa"/>
            <w:tcBorders>
              <w:top w:val="single" w:sz="4" w:space="0" w:color="auto"/>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(2)</w:t>
            </w:r>
          </w:p>
        </w:tc>
        <w:tc>
          <w:tcPr>
            <w:tcW w:w="1945" w:type="dxa"/>
            <w:tcBorders>
              <w:top w:val="single" w:sz="4" w:space="0" w:color="auto"/>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(3)</w:t>
            </w:r>
          </w:p>
        </w:tc>
        <w:tc>
          <w:tcPr>
            <w:tcW w:w="1945" w:type="dxa"/>
            <w:gridSpan w:val="2"/>
            <w:tcBorders>
              <w:top w:val="single" w:sz="4" w:space="0" w:color="auto"/>
              <w:left w:val="nil"/>
              <w:bottom w:val="nil"/>
              <w:right w:val="nil"/>
            </w:tcBorders>
            <w:shd w:val="clear" w:color="auto" w:fill="auto"/>
            <w:noWrap/>
            <w:vAlign w:val="bottom"/>
            <w:hideMark/>
          </w:tcPr>
          <w:p w:rsidR="00505B44" w:rsidRPr="00505B44" w:rsidRDefault="00505B44" w:rsidP="00847F60">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w:t>
            </w:r>
            <w:r w:rsidR="00847F60">
              <w:rPr>
                <w:rFonts w:eastAsia="Times New Roman" w:cs="Times New Roman"/>
                <w:color w:val="000000"/>
                <w:sz w:val="20"/>
                <w:szCs w:val="20"/>
              </w:rPr>
              <w:t>4</w:t>
            </w:r>
            <w:r w:rsidRPr="00505B44">
              <w:rPr>
                <w:rFonts w:eastAsia="Times New Roman" w:cs="Times New Roman"/>
                <w:color w:val="000000"/>
                <w:sz w:val="20"/>
                <w:szCs w:val="20"/>
              </w:rPr>
              <w:t>)</w:t>
            </w:r>
          </w:p>
        </w:tc>
      </w:tr>
      <w:tr w:rsidR="00505B44" w:rsidRPr="00505B44" w:rsidTr="00505B44">
        <w:trPr>
          <w:trHeight w:val="255"/>
        </w:trPr>
        <w:tc>
          <w:tcPr>
            <w:tcW w:w="1790"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 xml:space="preserve">Hickman </w:t>
            </w:r>
          </w:p>
        </w:tc>
        <w:tc>
          <w:tcPr>
            <w:tcW w:w="2186"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Modified Hickman</w:t>
            </w:r>
          </w:p>
        </w:tc>
        <w:tc>
          <w:tcPr>
            <w:tcW w:w="1945"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Sjoquist-Winters</w:t>
            </w:r>
          </w:p>
        </w:tc>
        <w:tc>
          <w:tcPr>
            <w:tcW w:w="1945" w:type="dxa"/>
            <w:gridSpan w:val="2"/>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Sjoquist-Winters</w:t>
            </w:r>
          </w:p>
        </w:tc>
      </w:tr>
      <w:tr w:rsidR="00505B44" w:rsidRPr="00505B44" w:rsidTr="00505B44">
        <w:trPr>
          <w:trHeight w:val="255"/>
        </w:trPr>
        <w:tc>
          <w:tcPr>
            <w:tcW w:w="1790"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r w:rsidRPr="00505B44">
              <w:rPr>
                <w:rFonts w:eastAsia="Times New Roman" w:cs="Times New Roman"/>
                <w:color w:val="000000"/>
                <w:sz w:val="20"/>
                <w:szCs w:val="20"/>
              </w:rPr>
              <w:t> </w:t>
            </w:r>
          </w:p>
        </w:tc>
        <w:tc>
          <w:tcPr>
            <w:tcW w:w="1524"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Specification</w:t>
            </w:r>
          </w:p>
        </w:tc>
        <w:tc>
          <w:tcPr>
            <w:tcW w:w="2186"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Specification</w:t>
            </w:r>
          </w:p>
        </w:tc>
        <w:tc>
          <w:tcPr>
            <w:tcW w:w="1945"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Specification</w:t>
            </w:r>
            <w:r w:rsidR="006F226D">
              <w:rPr>
                <w:rFonts w:eastAsia="Times New Roman" w:cs="Times New Roman"/>
                <w:color w:val="000000"/>
                <w:sz w:val="20"/>
                <w:szCs w:val="20"/>
              </w:rPr>
              <w:t xml:space="preserve"> A</w:t>
            </w:r>
          </w:p>
        </w:tc>
        <w:tc>
          <w:tcPr>
            <w:tcW w:w="1945" w:type="dxa"/>
            <w:gridSpan w:val="2"/>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Specification B</w:t>
            </w:r>
          </w:p>
        </w:tc>
      </w:tr>
      <w:tr w:rsidR="00505B44" w:rsidRPr="00505B44" w:rsidTr="00505B44">
        <w:trPr>
          <w:trHeight w:val="255"/>
        </w:trPr>
        <w:tc>
          <w:tcPr>
            <w:tcW w:w="1790"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r w:rsidRPr="00505B44">
              <w:rPr>
                <w:rFonts w:eastAsia="Times New Roman" w:cs="Times New Roman"/>
                <w:color w:val="000000"/>
                <w:sz w:val="20"/>
                <w:szCs w:val="20"/>
              </w:rPr>
              <w:t>HOPE</w:t>
            </w:r>
          </w:p>
        </w:tc>
        <w:tc>
          <w:tcPr>
            <w:tcW w:w="1524"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-0.0131</w:t>
            </w:r>
          </w:p>
        </w:tc>
        <w:tc>
          <w:tcPr>
            <w:tcW w:w="2186"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-0.0102</w:t>
            </w:r>
          </w:p>
        </w:tc>
        <w:tc>
          <w:tcPr>
            <w:tcW w:w="1945"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-0.0013</w:t>
            </w:r>
          </w:p>
        </w:tc>
        <w:tc>
          <w:tcPr>
            <w:tcW w:w="1945" w:type="dxa"/>
            <w:gridSpan w:val="2"/>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0.0068</w:t>
            </w:r>
          </w:p>
        </w:tc>
      </w:tr>
      <w:tr w:rsidR="00505B44" w:rsidRPr="00505B44" w:rsidTr="00505B44">
        <w:trPr>
          <w:trHeight w:val="255"/>
        </w:trPr>
        <w:tc>
          <w:tcPr>
            <w:tcW w:w="1790"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(0.0060)</w:t>
            </w:r>
          </w:p>
        </w:tc>
        <w:tc>
          <w:tcPr>
            <w:tcW w:w="2186"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(0.0060)</w:t>
            </w:r>
          </w:p>
        </w:tc>
        <w:tc>
          <w:tcPr>
            <w:tcW w:w="1945"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(0.0060)</w:t>
            </w:r>
          </w:p>
        </w:tc>
        <w:tc>
          <w:tcPr>
            <w:tcW w:w="1945" w:type="dxa"/>
            <w:gridSpan w:val="2"/>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(0.0057)</w:t>
            </w:r>
          </w:p>
        </w:tc>
      </w:tr>
      <w:tr w:rsidR="00505B44" w:rsidRPr="00505B44" w:rsidTr="00505B44">
        <w:trPr>
          <w:trHeight w:val="255"/>
        </w:trPr>
        <w:tc>
          <w:tcPr>
            <w:tcW w:w="1790"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r w:rsidRPr="00505B44">
              <w:rPr>
                <w:rFonts w:eastAsia="Times New Roman" w:cs="Times New Roman"/>
                <w:color w:val="000000"/>
                <w:sz w:val="20"/>
                <w:szCs w:val="20"/>
              </w:rPr>
              <w:t>HOPE*College</w:t>
            </w:r>
          </w:p>
        </w:tc>
        <w:tc>
          <w:tcPr>
            <w:tcW w:w="1524"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 xml:space="preserve">0.0358 </w:t>
            </w:r>
          </w:p>
        </w:tc>
        <w:tc>
          <w:tcPr>
            <w:tcW w:w="2186"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 xml:space="preserve">0.0356 </w:t>
            </w:r>
          </w:p>
        </w:tc>
        <w:tc>
          <w:tcPr>
            <w:tcW w:w="1945"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N/A</w:t>
            </w:r>
          </w:p>
        </w:tc>
        <w:tc>
          <w:tcPr>
            <w:tcW w:w="1945" w:type="dxa"/>
            <w:gridSpan w:val="2"/>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N/A</w:t>
            </w:r>
          </w:p>
        </w:tc>
      </w:tr>
      <w:tr w:rsidR="00505B44" w:rsidRPr="00505B44" w:rsidTr="00505B44">
        <w:trPr>
          <w:trHeight w:val="255"/>
        </w:trPr>
        <w:tc>
          <w:tcPr>
            <w:tcW w:w="1790"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(0.0089)</w:t>
            </w:r>
          </w:p>
        </w:tc>
        <w:tc>
          <w:tcPr>
            <w:tcW w:w="2186"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(0.0081)</w:t>
            </w:r>
          </w:p>
        </w:tc>
        <w:tc>
          <w:tcPr>
            <w:tcW w:w="1945"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p>
        </w:tc>
        <w:tc>
          <w:tcPr>
            <w:tcW w:w="1945" w:type="dxa"/>
            <w:gridSpan w:val="2"/>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p>
        </w:tc>
      </w:tr>
      <w:tr w:rsidR="00505B44" w:rsidRPr="00505B44" w:rsidTr="00505B44">
        <w:trPr>
          <w:trHeight w:val="255"/>
        </w:trPr>
        <w:tc>
          <w:tcPr>
            <w:tcW w:w="1790"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p>
        </w:tc>
        <w:tc>
          <w:tcPr>
            <w:tcW w:w="2186"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p>
        </w:tc>
        <w:tc>
          <w:tcPr>
            <w:tcW w:w="1945" w:type="dxa"/>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p>
        </w:tc>
        <w:tc>
          <w:tcPr>
            <w:tcW w:w="1945" w:type="dxa"/>
            <w:gridSpan w:val="2"/>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p>
        </w:tc>
      </w:tr>
      <w:tr w:rsidR="00505B44" w:rsidRPr="00505B44" w:rsidTr="00505B44">
        <w:trPr>
          <w:trHeight w:val="255"/>
        </w:trPr>
        <w:tc>
          <w:tcPr>
            <w:tcW w:w="1790"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r w:rsidRPr="00505B44">
              <w:rPr>
                <w:rFonts w:eastAsia="Times New Roman" w:cs="Times New Roman"/>
                <w:color w:val="000000"/>
                <w:sz w:val="20"/>
                <w:szCs w:val="20"/>
              </w:rPr>
              <w:t>Ages Included</w:t>
            </w:r>
          </w:p>
        </w:tc>
        <w:tc>
          <w:tcPr>
            <w:tcW w:w="1524"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23-27</w:t>
            </w:r>
          </w:p>
        </w:tc>
        <w:tc>
          <w:tcPr>
            <w:tcW w:w="2186"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23-35</w:t>
            </w:r>
          </w:p>
        </w:tc>
        <w:tc>
          <w:tcPr>
            <w:tcW w:w="1945" w:type="dxa"/>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23-35</w:t>
            </w:r>
          </w:p>
        </w:tc>
        <w:tc>
          <w:tcPr>
            <w:tcW w:w="1945" w:type="dxa"/>
            <w:gridSpan w:val="2"/>
            <w:tcBorders>
              <w:top w:val="nil"/>
              <w:left w:val="nil"/>
              <w:bottom w:val="single" w:sz="4" w:space="0" w:color="auto"/>
              <w:right w:val="nil"/>
            </w:tcBorders>
            <w:shd w:val="clear" w:color="auto" w:fill="auto"/>
            <w:noWrap/>
            <w:vAlign w:val="bottom"/>
            <w:hideMark/>
          </w:tcPr>
          <w:p w:rsidR="00505B44" w:rsidRPr="00505B44" w:rsidRDefault="00505B44" w:rsidP="00505B44">
            <w:pPr>
              <w:spacing w:after="0"/>
              <w:contextualSpacing w:val="0"/>
              <w:jc w:val="center"/>
              <w:rPr>
                <w:rFonts w:eastAsia="Times New Roman" w:cs="Times New Roman"/>
                <w:color w:val="000000"/>
                <w:sz w:val="20"/>
                <w:szCs w:val="20"/>
              </w:rPr>
            </w:pPr>
            <w:r w:rsidRPr="00505B44">
              <w:rPr>
                <w:rFonts w:eastAsia="Times New Roman" w:cs="Times New Roman"/>
                <w:color w:val="000000"/>
                <w:sz w:val="20"/>
                <w:szCs w:val="20"/>
              </w:rPr>
              <w:t>23-35</w:t>
            </w:r>
          </w:p>
        </w:tc>
      </w:tr>
      <w:tr w:rsidR="00505B44" w:rsidRPr="00505B44" w:rsidTr="00505B44">
        <w:trPr>
          <w:trHeight w:val="255"/>
        </w:trPr>
        <w:tc>
          <w:tcPr>
            <w:tcW w:w="9390" w:type="dxa"/>
            <w:gridSpan w:val="6"/>
            <w:tcBorders>
              <w:top w:val="nil"/>
              <w:left w:val="nil"/>
              <w:bottom w:val="nil"/>
              <w:right w:val="nil"/>
            </w:tcBorders>
            <w:shd w:val="clear" w:color="auto" w:fill="auto"/>
            <w:noWrap/>
            <w:vAlign w:val="bottom"/>
            <w:hideMark/>
          </w:tcPr>
          <w:p w:rsidR="00505B44" w:rsidRPr="00505B44" w:rsidRDefault="00505B44" w:rsidP="00505B44">
            <w:pPr>
              <w:spacing w:after="0"/>
              <w:contextualSpacing w:val="0"/>
              <w:rPr>
                <w:rFonts w:eastAsia="Times New Roman" w:cs="Times New Roman"/>
                <w:color w:val="000000"/>
                <w:sz w:val="20"/>
                <w:szCs w:val="20"/>
              </w:rPr>
            </w:pPr>
            <w:r w:rsidRPr="00505B44">
              <w:rPr>
                <w:rFonts w:eastAsia="Times New Roman" w:cs="Times New Roman"/>
                <w:color w:val="000000"/>
                <w:sz w:val="20"/>
                <w:szCs w:val="20"/>
              </w:rPr>
              <w:t>Notes: Standard errors are clustered by year of birth in the first two columns and by state-year of birth in the last two columns.</w:t>
            </w:r>
          </w:p>
        </w:tc>
      </w:tr>
    </w:tbl>
    <w:p w:rsidR="00AF5D45" w:rsidRDefault="00AF5D45" w:rsidP="005046C9">
      <w:pPr>
        <w:spacing w:after="0"/>
        <w:rPr>
          <w:rFonts w:cs="Times New Roman"/>
          <w:szCs w:val="24"/>
        </w:rPr>
      </w:pPr>
    </w:p>
    <w:sectPr w:rsidR="00AF5D45" w:rsidSect="00D07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81" w:rsidRDefault="00E62F81" w:rsidP="004663EC">
      <w:pPr>
        <w:spacing w:after="0"/>
      </w:pPr>
      <w:r>
        <w:separator/>
      </w:r>
    </w:p>
  </w:endnote>
  <w:endnote w:type="continuationSeparator" w:id="0">
    <w:p w:rsidR="00E62F81" w:rsidRDefault="00E62F81" w:rsidP="00466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31198"/>
      <w:docPartObj>
        <w:docPartGallery w:val="Page Numbers (Bottom of Page)"/>
        <w:docPartUnique/>
      </w:docPartObj>
    </w:sdtPr>
    <w:sdtEndPr>
      <w:rPr>
        <w:noProof/>
      </w:rPr>
    </w:sdtEndPr>
    <w:sdtContent>
      <w:p w:rsidR="00E62F81" w:rsidRDefault="00E62F81">
        <w:pPr>
          <w:pStyle w:val="Footer"/>
          <w:jc w:val="center"/>
        </w:pPr>
        <w:r>
          <w:fldChar w:fldCharType="begin"/>
        </w:r>
        <w:r>
          <w:instrText xml:space="preserve"> PAGE   \* MERGEFORMAT </w:instrText>
        </w:r>
        <w:r>
          <w:fldChar w:fldCharType="separate"/>
        </w:r>
        <w:r w:rsidR="00742353">
          <w:rPr>
            <w:noProof/>
          </w:rPr>
          <w:t>47</w:t>
        </w:r>
        <w:r>
          <w:rPr>
            <w:noProof/>
          </w:rPr>
          <w:fldChar w:fldCharType="end"/>
        </w:r>
      </w:p>
    </w:sdtContent>
  </w:sdt>
  <w:p w:rsidR="00E62F81" w:rsidRDefault="00E62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1" w:rsidRDefault="00E62F81">
    <w:pPr>
      <w:pStyle w:val="Footer"/>
      <w:jc w:val="center"/>
    </w:pPr>
  </w:p>
  <w:p w:rsidR="00E62F81" w:rsidRDefault="00E62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81" w:rsidRDefault="00E62F81" w:rsidP="004663EC">
      <w:pPr>
        <w:spacing w:after="0"/>
      </w:pPr>
      <w:r>
        <w:separator/>
      </w:r>
    </w:p>
  </w:footnote>
  <w:footnote w:type="continuationSeparator" w:id="0">
    <w:p w:rsidR="00E62F81" w:rsidRDefault="00E62F81" w:rsidP="004663EC">
      <w:pPr>
        <w:spacing w:after="0"/>
      </w:pPr>
      <w:r>
        <w:continuationSeparator/>
      </w:r>
    </w:p>
  </w:footnote>
  <w:footnote w:id="1">
    <w:p w:rsidR="00E62F81" w:rsidRDefault="00E62F81">
      <w:pPr>
        <w:pStyle w:val="FootnoteText"/>
      </w:pPr>
      <w:r>
        <w:rPr>
          <w:rStyle w:val="FootnoteReference"/>
        </w:rPr>
        <w:footnoteRef/>
      </w:r>
      <w:r>
        <w:t xml:space="preserve"> Georgia also created a HOPE Grant program for students pursuing diplomas or certificates in technical programs. </w:t>
      </w:r>
    </w:p>
  </w:footnote>
  <w:footnote w:id="2">
    <w:p w:rsidR="00E62F81" w:rsidRDefault="00E62F81" w:rsidP="00906762">
      <w:pPr>
        <w:pStyle w:val="FootnoteText"/>
      </w:pPr>
      <w:r>
        <w:rPr>
          <w:rStyle w:val="FootnoteReference"/>
        </w:rPr>
        <w:footnoteRef/>
      </w:r>
      <w:r>
        <w:t xml:space="preserve"> Sjoquist and </w:t>
      </w:r>
      <w:proofErr w:type="gramStart"/>
      <w:r>
        <w:t>Winters</w:t>
      </w:r>
      <w:proofErr w:type="gramEnd"/>
      <w:r>
        <w:t xml:space="preserve"> (2012</w:t>
      </w:r>
      <w:r w:rsidR="00C75571">
        <w:t>a</w:t>
      </w:r>
      <w:r>
        <w:t>) suggest that some of these results may be due to inappropriate econometric techniques.</w:t>
      </w:r>
    </w:p>
  </w:footnote>
  <w:footnote w:id="3">
    <w:p w:rsidR="00E62F81" w:rsidRDefault="00E62F81">
      <w:pPr>
        <w:pStyle w:val="FootnoteText"/>
      </w:pPr>
      <w:r>
        <w:rPr>
          <w:rStyle w:val="FootnoteReference"/>
        </w:rPr>
        <w:footnoteRef/>
      </w:r>
      <w:r>
        <w:t xml:space="preserve"> Studies have also suggested that attending college in a particular location affects post-college location decisions within metropolitan and non-metropolitan areas (Blackwell </w:t>
      </w:r>
      <w:r w:rsidR="00C75571">
        <w:t>et al.</w:t>
      </w:r>
      <w:r>
        <w:t xml:space="preserve"> 2002; Winters 2011b, </w:t>
      </w:r>
      <w:r w:rsidR="00C75571">
        <w:t>2011</w:t>
      </w:r>
      <w:r>
        <w:t>c)</w:t>
      </w:r>
    </w:p>
  </w:footnote>
  <w:footnote w:id="4">
    <w:p w:rsidR="00E62F81" w:rsidRDefault="00E62F81" w:rsidP="00883E37">
      <w:pPr>
        <w:autoSpaceDE w:val="0"/>
        <w:autoSpaceDN w:val="0"/>
        <w:adjustRightInd w:val="0"/>
        <w:spacing w:after="0"/>
      </w:pPr>
      <w:r w:rsidRPr="00380B4A">
        <w:rPr>
          <w:rStyle w:val="FootnoteReference"/>
          <w:sz w:val="20"/>
          <w:szCs w:val="20"/>
        </w:rPr>
        <w:footnoteRef/>
      </w:r>
      <w:r w:rsidRPr="00380B4A">
        <w:rPr>
          <w:sz w:val="20"/>
          <w:szCs w:val="20"/>
        </w:rPr>
        <w:t xml:space="preserve"> </w:t>
      </w:r>
      <w:r w:rsidRPr="00380B4A">
        <w:rPr>
          <w:rFonts w:cs="Times New Roman"/>
          <w:sz w:val="20"/>
          <w:szCs w:val="20"/>
        </w:rPr>
        <w:t>Bound et al. (2004) consider the relationship between the flow of BA graduates and the stock of college graduates</w:t>
      </w:r>
      <w:r>
        <w:rPr>
          <w:rFonts w:cs="Times New Roman"/>
          <w:sz w:val="20"/>
          <w:szCs w:val="20"/>
        </w:rPr>
        <w:t xml:space="preserve">. </w:t>
      </w:r>
      <w:r w:rsidRPr="00380B4A">
        <w:rPr>
          <w:rFonts w:cs="Times New Roman"/>
          <w:sz w:val="20"/>
          <w:szCs w:val="20"/>
        </w:rPr>
        <w:t>They find that there is substantial net migration of graduates</w:t>
      </w:r>
      <w:r>
        <w:rPr>
          <w:rFonts w:cs="Times New Roman"/>
          <w:sz w:val="20"/>
          <w:szCs w:val="20"/>
        </w:rPr>
        <w:t xml:space="preserve">. </w:t>
      </w:r>
      <w:r w:rsidRPr="00380B4A">
        <w:rPr>
          <w:rFonts w:cs="Times New Roman"/>
          <w:sz w:val="20"/>
          <w:szCs w:val="20"/>
        </w:rPr>
        <w:t xml:space="preserve">While interesting, they cannot </w:t>
      </w:r>
      <w:r>
        <w:rPr>
          <w:rFonts w:cs="Times New Roman"/>
          <w:sz w:val="20"/>
          <w:szCs w:val="20"/>
        </w:rPr>
        <w:t xml:space="preserve">directly </w:t>
      </w:r>
      <w:r w:rsidRPr="00380B4A">
        <w:rPr>
          <w:rFonts w:cs="Times New Roman"/>
          <w:sz w:val="20"/>
          <w:szCs w:val="20"/>
        </w:rPr>
        <w:t xml:space="preserve">measure the probability that a graduate of a college in a given state is more or less likely to migrate. </w:t>
      </w:r>
      <w:r>
        <w:rPr>
          <w:rFonts w:cs="Times New Roman"/>
          <w:sz w:val="20"/>
          <w:szCs w:val="20"/>
        </w:rPr>
        <w:t xml:space="preserve">Abel and </w:t>
      </w:r>
      <w:proofErr w:type="spellStart"/>
      <w:r>
        <w:rPr>
          <w:rFonts w:cs="Times New Roman"/>
          <w:sz w:val="20"/>
          <w:szCs w:val="20"/>
        </w:rPr>
        <w:t>Deitz</w:t>
      </w:r>
      <w:proofErr w:type="spellEnd"/>
      <w:r>
        <w:rPr>
          <w:rFonts w:cs="Times New Roman"/>
          <w:sz w:val="20"/>
          <w:szCs w:val="20"/>
        </w:rPr>
        <w:t xml:space="preserve"> (2012) examine the correlation between the production and stock of college graduates at the metropolitan level and generally find only a small positive effect.</w:t>
      </w:r>
    </w:p>
  </w:footnote>
  <w:footnote w:id="5">
    <w:p w:rsidR="00E62F81" w:rsidRDefault="00E62F81">
      <w:pPr>
        <w:pStyle w:val="FootnoteText"/>
      </w:pPr>
      <w:r>
        <w:rPr>
          <w:rStyle w:val="FootnoteReference"/>
        </w:rPr>
        <w:footnoteRef/>
      </w:r>
      <w:r>
        <w:t xml:space="preserve"> Groen and White (2004) find similar results in a related study.</w:t>
      </w:r>
    </w:p>
  </w:footnote>
  <w:footnote w:id="6">
    <w:p w:rsidR="00E62F81" w:rsidRDefault="00E62F81">
      <w:pPr>
        <w:pStyle w:val="FootnoteText"/>
      </w:pPr>
      <w:r>
        <w:rPr>
          <w:rStyle w:val="FootnoteReference"/>
        </w:rPr>
        <w:footnoteRef/>
      </w:r>
      <w:r>
        <w:t xml:space="preserve"> Hawley and </w:t>
      </w:r>
      <w:proofErr w:type="spellStart"/>
      <w:r>
        <w:t>Rork</w:t>
      </w:r>
      <w:proofErr w:type="spellEnd"/>
      <w:r>
        <w:t xml:space="preserve"> (2013) estimate the effect of merit aid programs on out-migration of college-educated adults, while Sjoquist and </w:t>
      </w:r>
      <w:proofErr w:type="gramStart"/>
      <w:r>
        <w:t>Winters</w:t>
      </w:r>
      <w:proofErr w:type="gramEnd"/>
      <w:r>
        <w:t xml:space="preserve"> (2012b) extend Hickman’s approach to all states with merit-aid programs.</w:t>
      </w:r>
    </w:p>
  </w:footnote>
  <w:footnote w:id="7">
    <w:p w:rsidR="00E62F81" w:rsidRDefault="00E62F81">
      <w:pPr>
        <w:pStyle w:val="FootnoteText"/>
      </w:pPr>
      <w:r>
        <w:rPr>
          <w:rStyle w:val="FootnoteReference"/>
        </w:rPr>
        <w:footnoteRef/>
      </w:r>
      <w:r>
        <w:t xml:space="preserve"> Our sample is restricted to students who enroll in the USG immediately after graduating high school. Thus, we use the phrases “years after graduating high school” and “years after enrolling in college” interchangeably. </w:t>
      </w:r>
    </w:p>
  </w:footnote>
  <w:footnote w:id="8">
    <w:p w:rsidR="00E62F81" w:rsidRDefault="00E62F81">
      <w:pPr>
        <w:pStyle w:val="FootnoteText"/>
      </w:pPr>
      <w:r>
        <w:rPr>
          <w:rStyle w:val="FootnoteReference"/>
        </w:rPr>
        <w:footnoteRef/>
      </w:r>
      <w:r>
        <w:t xml:space="preserve"> The approach used by Hickman (2009) has also been used by others such as Dynarski (2008) to measure other effects of HOPE and other merit-aid programs.</w:t>
      </w:r>
    </w:p>
  </w:footnote>
  <w:footnote w:id="9">
    <w:p w:rsidR="00E62F81" w:rsidRDefault="00E62F81">
      <w:pPr>
        <w:pStyle w:val="FootnoteText"/>
      </w:pPr>
      <w:r>
        <w:rPr>
          <w:rStyle w:val="FootnoteReference"/>
        </w:rPr>
        <w:footnoteRef/>
      </w:r>
      <w:r>
        <w:t xml:space="preserve"> Sjoquist and Walker (2010) provide a description and history of HOPE.</w:t>
      </w:r>
    </w:p>
  </w:footnote>
  <w:footnote w:id="10">
    <w:p w:rsidR="00E62F81" w:rsidRDefault="00E62F81">
      <w:pPr>
        <w:pStyle w:val="FootnoteText"/>
      </w:pPr>
      <w:r>
        <w:rPr>
          <w:rStyle w:val="FootnoteReference"/>
        </w:rPr>
        <w:footnoteRef/>
      </w:r>
      <w:r>
        <w:t xml:space="preserve"> Prior to adopting the HOPE program Georgia student aid program was very small.  For example, in 1990-91, student aid per recipient in Georgia was the third lowest in the country (National Association of State Student Grant &amp; Aid Programs, 1991).  Between 1990-91 and 2010-11, student aid increased 31 times in Georgia and 5 times for the U.S. </w:t>
      </w:r>
    </w:p>
  </w:footnote>
  <w:footnote w:id="11">
    <w:p w:rsidR="00E62F81" w:rsidRDefault="00E62F81">
      <w:pPr>
        <w:pStyle w:val="FootnoteText"/>
      </w:pPr>
      <w:r>
        <w:rPr>
          <w:rStyle w:val="FootnoteReference"/>
        </w:rPr>
        <w:footnoteRef/>
      </w:r>
      <w:r>
        <w:t xml:space="preserve"> Rothstein and Rouse (2011) explore how student debt affects post-college employment choices. </w:t>
      </w:r>
    </w:p>
  </w:footnote>
  <w:footnote w:id="12">
    <w:p w:rsidR="00E62F81" w:rsidRDefault="00E62F81">
      <w:pPr>
        <w:pStyle w:val="FootnoteText"/>
      </w:pPr>
      <w:r>
        <w:rPr>
          <w:rStyle w:val="FootnoteReference"/>
        </w:rPr>
        <w:footnoteRef/>
      </w:r>
      <w:r>
        <w:t xml:space="preserve"> </w:t>
      </w:r>
      <w:r>
        <w:rPr>
          <w:rFonts w:eastAsia="Calibri" w:cs="Times New Roman"/>
        </w:rPr>
        <w:t xml:space="preserve">Additional studies examining the effects of state merit aid programs on college enrollment decisions include Goodman (2008), Farrell and </w:t>
      </w:r>
      <w:proofErr w:type="spellStart"/>
      <w:r>
        <w:rPr>
          <w:rFonts w:eastAsia="Calibri" w:cs="Times New Roman"/>
        </w:rPr>
        <w:t>Kienzl</w:t>
      </w:r>
      <w:proofErr w:type="spellEnd"/>
      <w:r>
        <w:rPr>
          <w:rFonts w:eastAsia="Calibri" w:cs="Times New Roman"/>
        </w:rPr>
        <w:t xml:space="preserve"> (2009), </w:t>
      </w:r>
      <w:proofErr w:type="spellStart"/>
      <w:r>
        <w:rPr>
          <w:rFonts w:eastAsia="Calibri" w:cs="Times New Roman"/>
        </w:rPr>
        <w:t>Pallais</w:t>
      </w:r>
      <w:proofErr w:type="spellEnd"/>
      <w:r>
        <w:rPr>
          <w:rFonts w:eastAsia="Calibri" w:cs="Times New Roman"/>
        </w:rPr>
        <w:t xml:space="preserve"> (2009), and Zhang and Ness (2010), </w:t>
      </w:r>
    </w:p>
  </w:footnote>
  <w:footnote w:id="13">
    <w:p w:rsidR="00E62F81" w:rsidRDefault="00E62F81" w:rsidP="002C500B">
      <w:pPr>
        <w:pStyle w:val="FootnoteText"/>
      </w:pPr>
      <w:r>
        <w:rPr>
          <w:rStyle w:val="FootnoteReference"/>
        </w:rPr>
        <w:footnoteRef/>
      </w:r>
      <w:r>
        <w:t xml:space="preserve"> Going to school in-state because of HOPE could increase the probability that students will live in-state when they complete their schooling. This is the effect that Groen (2004) measures, but we are unable to isolate and measure the effect of going to college in-state on retention. </w:t>
      </w:r>
    </w:p>
  </w:footnote>
  <w:footnote w:id="14">
    <w:p w:rsidR="00E62F81" w:rsidRPr="008F719C" w:rsidRDefault="00E62F81">
      <w:pPr>
        <w:pStyle w:val="FootnoteText"/>
      </w:pPr>
      <w:r>
        <w:rPr>
          <w:rStyle w:val="FootnoteReference"/>
        </w:rPr>
        <w:footnoteRef/>
      </w:r>
      <w: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21</m:t>
            </m:r>
          </m:sub>
        </m:sSub>
      </m:oMath>
      <w:proofErr w:type="gramStart"/>
      <w:r>
        <w:t>equals</w:t>
      </w:r>
      <w:proofErr w:type="gramEnd"/>
      <w:r>
        <w:t xml:space="preserve"> zero since there are no HOPE stayers enrolled in the USG in period 1;</w:t>
      </w:r>
      <w:r w:rsidRPr="008F719C">
        <w:rPr>
          <w:i/>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32</m:t>
            </m:r>
          </m:sub>
        </m:sSub>
      </m:oMath>
      <w:r>
        <w:t xml:space="preserve"> is zero since Group 3 students do not attend college in Georgia in period 2.</w:t>
      </w:r>
    </w:p>
  </w:footnote>
  <w:footnote w:id="15">
    <w:p w:rsidR="00E62F81" w:rsidRDefault="00E62F81">
      <w:pPr>
        <w:pStyle w:val="FootnoteText"/>
      </w:pPr>
      <w:r>
        <w:rPr>
          <w:rStyle w:val="FootnoteReference"/>
        </w:rPr>
        <w:footnoteRef/>
      </w:r>
      <w:r>
        <w:t xml:space="preserve"> These conditions are sufficient but not necessary </w:t>
      </w:r>
      <w:proofErr w:type="gramStart"/>
      <w:r>
        <w:t xml:space="preserve">for </w:t>
      </w:r>
      <w:proofErr w:type="gramEnd"/>
      <m:oMath>
        <m:r>
          <w:rPr>
            <w:rFonts w:ascii="Cambria Math" w:hAnsi="Cambria Math" w:cs="Times New Roman"/>
          </w:rPr>
          <m:t>∆</m:t>
        </m:r>
        <m:r>
          <w:rPr>
            <w:rFonts w:ascii="Cambria Math" w:hAnsi="Cambria Math"/>
          </w:rPr>
          <m:t>ρ&lt;0</m:t>
        </m:r>
      </m:oMath>
      <w:r>
        <w:t>.</w:t>
      </w:r>
    </w:p>
  </w:footnote>
  <w:footnote w:id="16">
    <w:p w:rsidR="00E62F81" w:rsidRDefault="00E62F81">
      <w:pPr>
        <w:pStyle w:val="FootnoteText"/>
      </w:pPr>
      <w:r>
        <w:rPr>
          <w:rStyle w:val="FootnoteReference"/>
        </w:rPr>
        <w:footnoteRef/>
      </w:r>
      <w:r>
        <w:t xml:space="preserve"> The other 28 percent includes enrollment at private institutions and in the public technical college system.</w:t>
      </w:r>
    </w:p>
  </w:footnote>
  <w:footnote w:id="17">
    <w:p w:rsidR="00E62F81" w:rsidRDefault="00E62F81">
      <w:pPr>
        <w:pStyle w:val="FootnoteText"/>
      </w:pPr>
      <w:r>
        <w:rPr>
          <w:rStyle w:val="FootnoteReference"/>
        </w:rPr>
        <w:footnoteRef/>
      </w:r>
      <w:r>
        <w:t xml:space="preserve"> ES-202 </w:t>
      </w:r>
      <w:proofErr w:type="gramStart"/>
      <w:r>
        <w:t>are</w:t>
      </w:r>
      <w:proofErr w:type="gramEnd"/>
      <w:r>
        <w:t xml:space="preserve"> a commonly used data that provide near universal coverage of a state’s employment and are the basis for the U.S. Department of Labor’s Quarterly Census of Employment and Wages. Employees of any firm that is required to pay the unemployment insurance tax are included. Although there are some workers who are not covered, for example, self-employed workers, the U.S. Department of Labor estimates that the data cover 98 percent of all jobs.</w:t>
      </w:r>
    </w:p>
  </w:footnote>
  <w:footnote w:id="18">
    <w:p w:rsidR="00E62F81" w:rsidRDefault="00E62F81">
      <w:pPr>
        <w:pStyle w:val="FootnoteText"/>
      </w:pPr>
      <w:r>
        <w:rPr>
          <w:rStyle w:val="FootnoteReference"/>
        </w:rPr>
        <w:footnoteRef/>
      </w:r>
      <w:r>
        <w:t xml:space="preserve"> This result and others in the paper are robust to controlling for gender and race/ethnicity.</w:t>
      </w:r>
    </w:p>
  </w:footnote>
  <w:footnote w:id="19">
    <w:p w:rsidR="00E62F81" w:rsidRDefault="00E62F81">
      <w:pPr>
        <w:pStyle w:val="FootnoteText"/>
      </w:pPr>
      <w:r>
        <w:rPr>
          <w:rStyle w:val="FootnoteReference"/>
        </w:rPr>
        <w:footnoteRef/>
      </w:r>
      <w:r>
        <w:t xml:space="preserve"> This means that we cannot use our GPA as the bright line to distinguish those in the 1990 and 1991 cohorts who would have been eligible for HOPE.</w:t>
      </w:r>
    </w:p>
  </w:footnote>
  <w:footnote w:id="20">
    <w:p w:rsidR="00E62F81" w:rsidRDefault="00E62F81">
      <w:pPr>
        <w:pStyle w:val="FootnoteText"/>
      </w:pPr>
      <w:r>
        <w:rPr>
          <w:rStyle w:val="FootnoteReference"/>
        </w:rPr>
        <w:footnoteRef/>
      </w:r>
      <w:r>
        <w:t xml:space="preserve"> This approach is similar to that employed by Hickman (2009). Hickman controls for education level, age, gender, and race. While some of our sample may have gone on to post-college programs, we do not have that information. Our pre- and post-HOPE samples have the same age, so we do not have to control for that, and our results are robust to controlling for gender and race/ethnicity.</w:t>
      </w:r>
    </w:p>
  </w:footnote>
  <w:footnote w:id="21">
    <w:p w:rsidR="00E62F81" w:rsidRDefault="00E62F81" w:rsidP="008E1D92">
      <w:pPr>
        <w:pStyle w:val="FootnoteText"/>
      </w:pPr>
      <w:r>
        <w:rPr>
          <w:rStyle w:val="FootnoteReference"/>
        </w:rPr>
        <w:footnoteRef/>
      </w:r>
      <w:r>
        <w:t xml:space="preserve"> A potential alternative explanation is that the post-HOPE USG cohort stayed in school longer and delayed entry into the labor force. For example, HOPE may alter undergraduate course taking behavior as suggested by Cornwell</w:t>
      </w:r>
      <w:r w:rsidR="00C75571">
        <w:t xml:space="preserve"> et al.</w:t>
      </w:r>
      <w:r>
        <w:t xml:space="preserve"> (2005) so that students take fewer courses per semester to increase the likelihood of earning good grades and take longer to graduate. Additionally, HOPE may reduce student debt and allow students to pursue more years of education than they would without HOPE. To account for this alternative, we explore in results not shown measuring retention as equal to one if a student is either employed in Georgia </w:t>
      </w:r>
      <w:r w:rsidRPr="00020E56">
        <w:rPr>
          <w:i/>
        </w:rPr>
        <w:t>or</w:t>
      </w:r>
      <w:r>
        <w:t xml:space="preserve"> enrolled in the USG during a given year. Doing so has only a minimal effect on the results, especially once students are several years removed from high school. We conclude that </w:t>
      </w:r>
      <w:proofErr w:type="gramStart"/>
      <w:r>
        <w:t>students staying in school longer does</w:t>
      </w:r>
      <w:proofErr w:type="gramEnd"/>
      <w:r>
        <w:t xml:space="preserve"> not meaningfully affect our results.</w:t>
      </w:r>
    </w:p>
  </w:footnote>
  <w:footnote w:id="22">
    <w:p w:rsidR="00E62F81" w:rsidRDefault="00E62F81">
      <w:pPr>
        <w:pStyle w:val="FootnoteText"/>
      </w:pPr>
      <w:r>
        <w:rPr>
          <w:rStyle w:val="FootnoteReference"/>
        </w:rPr>
        <w:footnoteRef/>
      </w:r>
      <w:r>
        <w:t xml:space="preserve"> Bound and Turner (2007) and Zhang (2009) more generally examine the effects of public funding on higher education attainment.</w:t>
      </w:r>
    </w:p>
  </w:footnote>
  <w:footnote w:id="23">
    <w:p w:rsidR="00E62F81" w:rsidRDefault="00E62F81">
      <w:pPr>
        <w:pStyle w:val="FootnoteText"/>
      </w:pPr>
      <w:r>
        <w:rPr>
          <w:rStyle w:val="FootnoteReference"/>
        </w:rPr>
        <w:footnoteRef/>
      </w:r>
      <w:r>
        <w:t xml:space="preserve"> Of course it is possible that this effect is due to a change in the composition of freshmen resulting from HOPE.</w:t>
      </w:r>
    </w:p>
  </w:footnote>
  <w:footnote w:id="24">
    <w:p w:rsidR="00E62F81" w:rsidRDefault="00E62F81">
      <w:pPr>
        <w:pStyle w:val="FootnoteText"/>
      </w:pPr>
      <w:r>
        <w:rPr>
          <w:rStyle w:val="FootnoteReference"/>
        </w:rPr>
        <w:footnoteRef/>
      </w:r>
      <w:r>
        <w:t xml:space="preserve"> Results are robust to using probit or logit instead.</w:t>
      </w:r>
    </w:p>
  </w:footnote>
  <w:footnote w:id="25">
    <w:p w:rsidR="00E62F81" w:rsidRDefault="00E62F81">
      <w:pPr>
        <w:pStyle w:val="FootnoteText"/>
      </w:pPr>
      <w:r>
        <w:rPr>
          <w:rStyle w:val="FootnoteReference"/>
        </w:rPr>
        <w:footnoteRef/>
      </w:r>
      <w:r>
        <w:t xml:space="preserve"> Adding additional variables does, however, increase the accuracy of the prediction.  For example, the mean values of the predicted HOPE variable for the post-HOPE cohorts are 0.769 and 0.539 for recipients and non-recipients for the first specification, but adding the additional controls in the fourth specification produces mean predicted HOPE values of 0.829 and 0.400 for recipients and non-recipients.  The Adjusted R</w:t>
      </w:r>
      <w:r w:rsidRPr="001F7FC2">
        <w:rPr>
          <w:vertAlign w:val="superscript"/>
        </w:rPr>
        <w:t>2</w:t>
      </w:r>
      <w:r>
        <w:t xml:space="preserve"> also increases from 0.223 to 0.423 moving from the first to the fourth column.  The tradeoff is that pre- and post-HOPE structural changes in institution attended and high school GPA could affect the comparability of predicted HOPE pre- and post-HOPE.  The potential bias is a bigger concern than the noise resulting from excluding these predictors.</w:t>
      </w:r>
    </w:p>
  </w:footnote>
  <w:footnote w:id="26">
    <w:p w:rsidR="00E62F81" w:rsidRDefault="00E62F81">
      <w:pPr>
        <w:pStyle w:val="FootnoteText"/>
      </w:pPr>
      <w:r>
        <w:rPr>
          <w:rStyle w:val="FootnoteReference"/>
        </w:rPr>
        <w:footnoteRef/>
      </w:r>
      <w:r>
        <w:t xml:space="preserve"> Since </w:t>
      </w:r>
      <m:oMath>
        <m:acc>
          <m:accPr>
            <m:ctrlPr>
              <w:rPr>
                <w:rFonts w:ascii="Cambria Math" w:hAnsi="Cambria Math"/>
                <w:i/>
              </w:rPr>
            </m:ctrlPr>
          </m:accPr>
          <m:e>
            <m:r>
              <w:rPr>
                <w:rFonts w:ascii="Cambria Math" w:hAnsi="Cambria Math"/>
              </w:rPr>
              <m:t>HOPE</m:t>
            </m:r>
          </m:e>
        </m:acc>
      </m:oMath>
      <w:r>
        <w:rPr>
          <w:rFonts w:eastAsiaTheme="minorEastAsia"/>
        </w:rPr>
        <w:t xml:space="preserve"> is a continuous variable, the regression is not technically a difference in differences regression.</w:t>
      </w:r>
    </w:p>
  </w:footnote>
  <w:footnote w:id="27">
    <w:p w:rsidR="00E62F81" w:rsidRDefault="00E62F81">
      <w:pPr>
        <w:pStyle w:val="FootnoteText"/>
      </w:pPr>
      <w:r>
        <w:rPr>
          <w:rStyle w:val="FootnoteReference"/>
        </w:rPr>
        <w:footnoteRef/>
      </w:r>
      <w:r>
        <w:t xml:space="preserve"> Comparing by ability decile attempts to control for grade inflation. </w:t>
      </w:r>
    </w:p>
  </w:footnote>
  <w:footnote w:id="28">
    <w:p w:rsidR="00E62F81" w:rsidRDefault="00E62F81">
      <w:pPr>
        <w:pStyle w:val="FootnoteText"/>
      </w:pPr>
      <w:r>
        <w:rPr>
          <w:rStyle w:val="FootnoteReference"/>
        </w:rPr>
        <w:footnoteRef/>
      </w:r>
      <w:r>
        <w:t xml:space="preserve"> The 2007-2010 ACS were presumably unavailable to Hickman and using the 1990 census offered little advantage since Florida’s merit program was adopted in 1997. </w:t>
      </w:r>
    </w:p>
  </w:footnote>
  <w:footnote w:id="29">
    <w:p w:rsidR="00E62F81" w:rsidRDefault="00E62F81" w:rsidP="007A7FA4">
      <w:pPr>
        <w:pStyle w:val="FootnoteText"/>
      </w:pPr>
      <w:r>
        <w:rPr>
          <w:rStyle w:val="FootnoteReference"/>
        </w:rPr>
        <w:footnoteRef/>
      </w:r>
      <w:r>
        <w:t xml:space="preserve"> If merit aid caused more students to attend college it would affect the composition of the control sample pre- and post-merit aid, whether we use Hickman’s control group or ours. But research such as </w:t>
      </w:r>
      <w:proofErr w:type="spellStart"/>
      <w:r>
        <w:t>Dynarski</w:t>
      </w:r>
      <w:proofErr w:type="spellEnd"/>
      <w:r>
        <w:t xml:space="preserve"> (2000) suggest that </w:t>
      </w:r>
      <w:r w:rsidRPr="007A7FA4">
        <w:t>m</w:t>
      </w:r>
      <w:r w:rsidRPr="007A7FA4">
        <w:rPr>
          <w:rFonts w:cs="Times New Roman"/>
          <w:szCs w:val="24"/>
        </w:rPr>
        <w:t xml:space="preserve">erit aid affects </w:t>
      </w:r>
      <w:r w:rsidRPr="007A7FA4">
        <w:rPr>
          <w:rFonts w:cs="Times New Roman"/>
          <w:i/>
          <w:szCs w:val="24"/>
        </w:rPr>
        <w:t>where</w:t>
      </w:r>
      <w:r w:rsidRPr="007A7FA4">
        <w:rPr>
          <w:rFonts w:cs="Times New Roman"/>
          <w:szCs w:val="24"/>
        </w:rPr>
        <w:t xml:space="preserve"> students attend college, but that they do not significantly affect </w:t>
      </w:r>
      <w:r w:rsidRPr="007A7FA4">
        <w:rPr>
          <w:rFonts w:cs="Times New Roman"/>
          <w:i/>
          <w:szCs w:val="24"/>
        </w:rPr>
        <w:t>whether</w:t>
      </w:r>
      <w:r w:rsidRPr="007A7FA4">
        <w:rPr>
          <w:rFonts w:cs="Times New Roman"/>
          <w:szCs w:val="24"/>
        </w:rPr>
        <w:t xml:space="preserve"> a young person attends college.</w:t>
      </w:r>
      <w:r w:rsidRPr="007A7FA4">
        <w:rPr>
          <w:rFonts w:cs="Times New Roman"/>
          <w:b/>
          <w:szCs w:val="24"/>
        </w:rPr>
        <w:t xml:space="preserve"> </w:t>
      </w:r>
    </w:p>
  </w:footnote>
  <w:footnote w:id="30">
    <w:p w:rsidR="00E62F81" w:rsidRDefault="00E62F81">
      <w:pPr>
        <w:pStyle w:val="FootnoteText"/>
      </w:pPr>
      <w:r>
        <w:rPr>
          <w:rStyle w:val="FootnoteReference"/>
        </w:rPr>
        <w:footnoteRef/>
      </w:r>
      <w:r>
        <w:t xml:space="preserve"> However, this does not mean that the two procedures would produce different results for Florida. In fact, the Sjoquist-Winters specification produces very similar results for Florida as the Hickman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298"/>
    <w:multiLevelType w:val="hybridMultilevel"/>
    <w:tmpl w:val="85CAF522"/>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01A724D"/>
    <w:multiLevelType w:val="hybridMultilevel"/>
    <w:tmpl w:val="704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52BF1"/>
    <w:multiLevelType w:val="hybridMultilevel"/>
    <w:tmpl w:val="F190E1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AB2DE2"/>
    <w:multiLevelType w:val="hybridMultilevel"/>
    <w:tmpl w:val="EC5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D334A"/>
    <w:multiLevelType w:val="hybridMultilevel"/>
    <w:tmpl w:val="A1B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52C9D"/>
    <w:multiLevelType w:val="hybridMultilevel"/>
    <w:tmpl w:val="6128B0F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972073"/>
    <w:multiLevelType w:val="hybridMultilevel"/>
    <w:tmpl w:val="7534A9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2C2FB5"/>
    <w:multiLevelType w:val="hybridMultilevel"/>
    <w:tmpl w:val="BF387A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BE14C4"/>
    <w:multiLevelType w:val="hybridMultilevel"/>
    <w:tmpl w:val="C7E4EC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511BD"/>
    <w:multiLevelType w:val="hybridMultilevel"/>
    <w:tmpl w:val="6E9A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91A76"/>
    <w:multiLevelType w:val="hybridMultilevel"/>
    <w:tmpl w:val="948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723"/>
    <w:multiLevelType w:val="hybridMultilevel"/>
    <w:tmpl w:val="A7C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55E5E"/>
    <w:multiLevelType w:val="hybridMultilevel"/>
    <w:tmpl w:val="8BA6FDEC"/>
    <w:lvl w:ilvl="0" w:tplc="10B2C552">
      <w:start w:val="1"/>
      <w:numFmt w:val="upperRoman"/>
      <w:lvlText w:val="%1."/>
      <w:lvlJc w:val="right"/>
      <w:pPr>
        <w:ind w:left="540" w:hanging="360"/>
      </w:pPr>
      <w:rPr>
        <w:rFonts w:cs="Times New Roman" w:hint="default"/>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1BA16C0">
      <w:start w:val="1"/>
      <w:numFmt w:val="decimal"/>
      <w:lvlText w:val="%4."/>
      <w:lvlJc w:val="left"/>
      <w:pPr>
        <w:ind w:left="2880" w:hanging="360"/>
      </w:pPr>
      <w:rPr>
        <w:rFonts w:cs="Times New Roman" w:hint="default"/>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964DAD"/>
    <w:multiLevelType w:val="hybridMultilevel"/>
    <w:tmpl w:val="6A00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4015E"/>
    <w:multiLevelType w:val="hybridMultilevel"/>
    <w:tmpl w:val="28A4999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57B8B"/>
    <w:multiLevelType w:val="hybridMultilevel"/>
    <w:tmpl w:val="0F9C535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DF26D4"/>
    <w:multiLevelType w:val="hybridMultilevel"/>
    <w:tmpl w:val="28F2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D5FD0"/>
    <w:multiLevelType w:val="hybridMultilevel"/>
    <w:tmpl w:val="0BD657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377CE"/>
    <w:multiLevelType w:val="hybridMultilevel"/>
    <w:tmpl w:val="ED78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11AD1"/>
    <w:multiLevelType w:val="hybridMultilevel"/>
    <w:tmpl w:val="0F9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557EE"/>
    <w:multiLevelType w:val="hybridMultilevel"/>
    <w:tmpl w:val="252A050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C421879"/>
    <w:multiLevelType w:val="hybridMultilevel"/>
    <w:tmpl w:val="2B9C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41F9E"/>
    <w:multiLevelType w:val="hybridMultilevel"/>
    <w:tmpl w:val="4EF46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B62F8"/>
    <w:multiLevelType w:val="hybridMultilevel"/>
    <w:tmpl w:val="153ABA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75AB8"/>
    <w:multiLevelType w:val="hybridMultilevel"/>
    <w:tmpl w:val="1A5ED750"/>
    <w:lvl w:ilvl="0" w:tplc="BDCCC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2E9206E"/>
    <w:multiLevelType w:val="hybridMultilevel"/>
    <w:tmpl w:val="B3E009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F148D4"/>
    <w:multiLevelType w:val="hybridMultilevel"/>
    <w:tmpl w:val="4ED4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D5FCA"/>
    <w:multiLevelType w:val="hybridMultilevel"/>
    <w:tmpl w:val="C6925704"/>
    <w:lvl w:ilvl="0" w:tplc="0E0ADB7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C269C7"/>
    <w:multiLevelType w:val="hybridMultilevel"/>
    <w:tmpl w:val="A17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
  </w:num>
  <w:num w:numId="4">
    <w:abstractNumId w:val="13"/>
  </w:num>
  <w:num w:numId="5">
    <w:abstractNumId w:val="26"/>
  </w:num>
  <w:num w:numId="6">
    <w:abstractNumId w:val="20"/>
  </w:num>
  <w:num w:numId="7">
    <w:abstractNumId w:val="25"/>
  </w:num>
  <w:num w:numId="8">
    <w:abstractNumId w:val="0"/>
  </w:num>
  <w:num w:numId="9">
    <w:abstractNumId w:val="8"/>
  </w:num>
  <w:num w:numId="10">
    <w:abstractNumId w:val="17"/>
  </w:num>
  <w:num w:numId="11">
    <w:abstractNumId w:val="23"/>
  </w:num>
  <w:num w:numId="12">
    <w:abstractNumId w:val="2"/>
  </w:num>
  <w:num w:numId="13">
    <w:abstractNumId w:val="28"/>
  </w:num>
  <w:num w:numId="14">
    <w:abstractNumId w:val="9"/>
  </w:num>
  <w:num w:numId="15">
    <w:abstractNumId w:val="21"/>
  </w:num>
  <w:num w:numId="16">
    <w:abstractNumId w:val="10"/>
  </w:num>
  <w:num w:numId="17">
    <w:abstractNumId w:val="11"/>
  </w:num>
  <w:num w:numId="18">
    <w:abstractNumId w:val="15"/>
  </w:num>
  <w:num w:numId="19">
    <w:abstractNumId w:val="1"/>
  </w:num>
  <w:num w:numId="20">
    <w:abstractNumId w:val="16"/>
  </w:num>
  <w:num w:numId="21">
    <w:abstractNumId w:val="6"/>
  </w:num>
  <w:num w:numId="22">
    <w:abstractNumId w:val="12"/>
  </w:num>
  <w:num w:numId="23">
    <w:abstractNumId w:val="7"/>
  </w:num>
  <w:num w:numId="24">
    <w:abstractNumId w:val="19"/>
  </w:num>
  <w:num w:numId="25">
    <w:abstractNumId w:val="22"/>
  </w:num>
  <w:num w:numId="26">
    <w:abstractNumId w:val="27"/>
  </w:num>
  <w:num w:numId="27">
    <w:abstractNumId w:val="5"/>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EC"/>
    <w:rsid w:val="0000019D"/>
    <w:rsid w:val="00001798"/>
    <w:rsid w:val="00002823"/>
    <w:rsid w:val="000030C7"/>
    <w:rsid w:val="000037EF"/>
    <w:rsid w:val="00003B63"/>
    <w:rsid w:val="00007F98"/>
    <w:rsid w:val="0001337C"/>
    <w:rsid w:val="00016697"/>
    <w:rsid w:val="00016BA9"/>
    <w:rsid w:val="00017FBE"/>
    <w:rsid w:val="00020D6D"/>
    <w:rsid w:val="00020E56"/>
    <w:rsid w:val="00022028"/>
    <w:rsid w:val="0002238D"/>
    <w:rsid w:val="00024E1A"/>
    <w:rsid w:val="00025850"/>
    <w:rsid w:val="00026B04"/>
    <w:rsid w:val="0003169E"/>
    <w:rsid w:val="00033EEA"/>
    <w:rsid w:val="0003532E"/>
    <w:rsid w:val="00035C91"/>
    <w:rsid w:val="00035DE9"/>
    <w:rsid w:val="00040465"/>
    <w:rsid w:val="00041A6F"/>
    <w:rsid w:val="000421F7"/>
    <w:rsid w:val="00042E8C"/>
    <w:rsid w:val="00044A98"/>
    <w:rsid w:val="00045962"/>
    <w:rsid w:val="00055DD0"/>
    <w:rsid w:val="000628F9"/>
    <w:rsid w:val="0006350A"/>
    <w:rsid w:val="00063666"/>
    <w:rsid w:val="000640C3"/>
    <w:rsid w:val="000652A1"/>
    <w:rsid w:val="00067B7B"/>
    <w:rsid w:val="00070101"/>
    <w:rsid w:val="00077C2E"/>
    <w:rsid w:val="00077C51"/>
    <w:rsid w:val="00080896"/>
    <w:rsid w:val="0008148C"/>
    <w:rsid w:val="00083982"/>
    <w:rsid w:val="00083E1C"/>
    <w:rsid w:val="0008558B"/>
    <w:rsid w:val="000861EA"/>
    <w:rsid w:val="0009143A"/>
    <w:rsid w:val="00095C13"/>
    <w:rsid w:val="00095F29"/>
    <w:rsid w:val="000A1673"/>
    <w:rsid w:val="000A3DAD"/>
    <w:rsid w:val="000A4344"/>
    <w:rsid w:val="000B017F"/>
    <w:rsid w:val="000B0520"/>
    <w:rsid w:val="000B07DE"/>
    <w:rsid w:val="000B23CD"/>
    <w:rsid w:val="000B3C9A"/>
    <w:rsid w:val="000C0348"/>
    <w:rsid w:val="000C466E"/>
    <w:rsid w:val="000C53A0"/>
    <w:rsid w:val="000C57D0"/>
    <w:rsid w:val="000C6923"/>
    <w:rsid w:val="000C6972"/>
    <w:rsid w:val="000D1607"/>
    <w:rsid w:val="000D19C0"/>
    <w:rsid w:val="000E5C26"/>
    <w:rsid w:val="000F1760"/>
    <w:rsid w:val="000F23DA"/>
    <w:rsid w:val="000F3CFA"/>
    <w:rsid w:val="000F4A3B"/>
    <w:rsid w:val="000F617D"/>
    <w:rsid w:val="000F6559"/>
    <w:rsid w:val="001005E8"/>
    <w:rsid w:val="001009FD"/>
    <w:rsid w:val="001030DB"/>
    <w:rsid w:val="0010352C"/>
    <w:rsid w:val="00104035"/>
    <w:rsid w:val="00105972"/>
    <w:rsid w:val="00105C07"/>
    <w:rsid w:val="00110DF0"/>
    <w:rsid w:val="00110EB4"/>
    <w:rsid w:val="0011112F"/>
    <w:rsid w:val="0011344C"/>
    <w:rsid w:val="0011353C"/>
    <w:rsid w:val="00114D79"/>
    <w:rsid w:val="00117C02"/>
    <w:rsid w:val="00121535"/>
    <w:rsid w:val="0012186A"/>
    <w:rsid w:val="00122315"/>
    <w:rsid w:val="00124A83"/>
    <w:rsid w:val="00125FAD"/>
    <w:rsid w:val="00127C5B"/>
    <w:rsid w:val="00135FA3"/>
    <w:rsid w:val="00136E06"/>
    <w:rsid w:val="001408CA"/>
    <w:rsid w:val="00140AF0"/>
    <w:rsid w:val="001423B5"/>
    <w:rsid w:val="00142F9A"/>
    <w:rsid w:val="00147935"/>
    <w:rsid w:val="00153408"/>
    <w:rsid w:val="001534FF"/>
    <w:rsid w:val="0015609A"/>
    <w:rsid w:val="001611C5"/>
    <w:rsid w:val="0016336C"/>
    <w:rsid w:val="0016465D"/>
    <w:rsid w:val="00164BC6"/>
    <w:rsid w:val="00166018"/>
    <w:rsid w:val="0016709E"/>
    <w:rsid w:val="00167269"/>
    <w:rsid w:val="00170EAA"/>
    <w:rsid w:val="00171C09"/>
    <w:rsid w:val="001733E3"/>
    <w:rsid w:val="0017443C"/>
    <w:rsid w:val="00174FF8"/>
    <w:rsid w:val="00177923"/>
    <w:rsid w:val="001825E7"/>
    <w:rsid w:val="00186175"/>
    <w:rsid w:val="00192D54"/>
    <w:rsid w:val="00196CF6"/>
    <w:rsid w:val="001973D2"/>
    <w:rsid w:val="001976F7"/>
    <w:rsid w:val="001A0860"/>
    <w:rsid w:val="001A14F9"/>
    <w:rsid w:val="001A1D07"/>
    <w:rsid w:val="001A5232"/>
    <w:rsid w:val="001A53DB"/>
    <w:rsid w:val="001B08E2"/>
    <w:rsid w:val="001B16EE"/>
    <w:rsid w:val="001B2023"/>
    <w:rsid w:val="001B2D1A"/>
    <w:rsid w:val="001B2EFF"/>
    <w:rsid w:val="001B354C"/>
    <w:rsid w:val="001B3846"/>
    <w:rsid w:val="001B4474"/>
    <w:rsid w:val="001B52BA"/>
    <w:rsid w:val="001B77A0"/>
    <w:rsid w:val="001C01A6"/>
    <w:rsid w:val="001C071A"/>
    <w:rsid w:val="001C17FB"/>
    <w:rsid w:val="001C4373"/>
    <w:rsid w:val="001C53CB"/>
    <w:rsid w:val="001C63B4"/>
    <w:rsid w:val="001C72BD"/>
    <w:rsid w:val="001D0D3E"/>
    <w:rsid w:val="001D24E8"/>
    <w:rsid w:val="001E3E90"/>
    <w:rsid w:val="001E4B1E"/>
    <w:rsid w:val="001E6804"/>
    <w:rsid w:val="001E7772"/>
    <w:rsid w:val="001E7A19"/>
    <w:rsid w:val="001F0D48"/>
    <w:rsid w:val="001F1B6E"/>
    <w:rsid w:val="001F29F2"/>
    <w:rsid w:val="001F4552"/>
    <w:rsid w:val="001F4F59"/>
    <w:rsid w:val="001F777F"/>
    <w:rsid w:val="001F7FC2"/>
    <w:rsid w:val="002033A5"/>
    <w:rsid w:val="00211354"/>
    <w:rsid w:val="00213D07"/>
    <w:rsid w:val="00214A9B"/>
    <w:rsid w:val="002153E1"/>
    <w:rsid w:val="00216160"/>
    <w:rsid w:val="00217A74"/>
    <w:rsid w:val="002211D5"/>
    <w:rsid w:val="00222280"/>
    <w:rsid w:val="00224085"/>
    <w:rsid w:val="002246AF"/>
    <w:rsid w:val="00226950"/>
    <w:rsid w:val="00227177"/>
    <w:rsid w:val="00227EA7"/>
    <w:rsid w:val="00230FC9"/>
    <w:rsid w:val="002319F4"/>
    <w:rsid w:val="00233502"/>
    <w:rsid w:val="00234C88"/>
    <w:rsid w:val="00237D6F"/>
    <w:rsid w:val="0024121E"/>
    <w:rsid w:val="00241D82"/>
    <w:rsid w:val="00247EB0"/>
    <w:rsid w:val="00251D3E"/>
    <w:rsid w:val="00252472"/>
    <w:rsid w:val="0025496C"/>
    <w:rsid w:val="00255821"/>
    <w:rsid w:val="00261112"/>
    <w:rsid w:val="00261ADE"/>
    <w:rsid w:val="0026352C"/>
    <w:rsid w:val="00264F01"/>
    <w:rsid w:val="00271814"/>
    <w:rsid w:val="00273DB5"/>
    <w:rsid w:val="00273F03"/>
    <w:rsid w:val="0027558F"/>
    <w:rsid w:val="00277EF5"/>
    <w:rsid w:val="00282A0A"/>
    <w:rsid w:val="00282BE2"/>
    <w:rsid w:val="0028353A"/>
    <w:rsid w:val="0029071F"/>
    <w:rsid w:val="00293AE7"/>
    <w:rsid w:val="00293D4D"/>
    <w:rsid w:val="00294AD7"/>
    <w:rsid w:val="002A08BF"/>
    <w:rsid w:val="002A0A53"/>
    <w:rsid w:val="002A0E33"/>
    <w:rsid w:val="002A1EFF"/>
    <w:rsid w:val="002A3C26"/>
    <w:rsid w:val="002A3E9A"/>
    <w:rsid w:val="002A4669"/>
    <w:rsid w:val="002A46C6"/>
    <w:rsid w:val="002A5514"/>
    <w:rsid w:val="002A556D"/>
    <w:rsid w:val="002A5A32"/>
    <w:rsid w:val="002A5BB3"/>
    <w:rsid w:val="002A76ED"/>
    <w:rsid w:val="002B0763"/>
    <w:rsid w:val="002B0A90"/>
    <w:rsid w:val="002B6561"/>
    <w:rsid w:val="002B6AC9"/>
    <w:rsid w:val="002B6AD4"/>
    <w:rsid w:val="002C21D7"/>
    <w:rsid w:val="002C2A2F"/>
    <w:rsid w:val="002C3606"/>
    <w:rsid w:val="002C500B"/>
    <w:rsid w:val="002D234F"/>
    <w:rsid w:val="002D37E3"/>
    <w:rsid w:val="002D3EC7"/>
    <w:rsid w:val="002D4A95"/>
    <w:rsid w:val="002E0BFC"/>
    <w:rsid w:val="002E5143"/>
    <w:rsid w:val="002E7A43"/>
    <w:rsid w:val="002F02BD"/>
    <w:rsid w:val="002F084F"/>
    <w:rsid w:val="002F5C7D"/>
    <w:rsid w:val="003006D7"/>
    <w:rsid w:val="00300F8E"/>
    <w:rsid w:val="003020EB"/>
    <w:rsid w:val="003029F5"/>
    <w:rsid w:val="003077C0"/>
    <w:rsid w:val="00312604"/>
    <w:rsid w:val="00320357"/>
    <w:rsid w:val="003205DC"/>
    <w:rsid w:val="003213C3"/>
    <w:rsid w:val="003234E6"/>
    <w:rsid w:val="00324766"/>
    <w:rsid w:val="00324B6D"/>
    <w:rsid w:val="00324DC3"/>
    <w:rsid w:val="0032653A"/>
    <w:rsid w:val="00331A10"/>
    <w:rsid w:val="003321AE"/>
    <w:rsid w:val="003327CB"/>
    <w:rsid w:val="00333BF2"/>
    <w:rsid w:val="00336D4D"/>
    <w:rsid w:val="003403A0"/>
    <w:rsid w:val="003451BB"/>
    <w:rsid w:val="0034691A"/>
    <w:rsid w:val="0034752B"/>
    <w:rsid w:val="00350FEE"/>
    <w:rsid w:val="00351FA1"/>
    <w:rsid w:val="003524F7"/>
    <w:rsid w:val="003528BD"/>
    <w:rsid w:val="00352E04"/>
    <w:rsid w:val="00353B67"/>
    <w:rsid w:val="00355300"/>
    <w:rsid w:val="003569E4"/>
    <w:rsid w:val="003576E1"/>
    <w:rsid w:val="00360958"/>
    <w:rsid w:val="00363AD4"/>
    <w:rsid w:val="003645BA"/>
    <w:rsid w:val="00365690"/>
    <w:rsid w:val="00365757"/>
    <w:rsid w:val="00367B9C"/>
    <w:rsid w:val="0037181E"/>
    <w:rsid w:val="00371E89"/>
    <w:rsid w:val="003738EB"/>
    <w:rsid w:val="00375EA0"/>
    <w:rsid w:val="00380B4A"/>
    <w:rsid w:val="00381F94"/>
    <w:rsid w:val="00382DDA"/>
    <w:rsid w:val="0038518A"/>
    <w:rsid w:val="00386884"/>
    <w:rsid w:val="0039533C"/>
    <w:rsid w:val="003A4186"/>
    <w:rsid w:val="003B001E"/>
    <w:rsid w:val="003B750F"/>
    <w:rsid w:val="003C14CC"/>
    <w:rsid w:val="003C5B83"/>
    <w:rsid w:val="003C65B3"/>
    <w:rsid w:val="003C6E65"/>
    <w:rsid w:val="003D18BA"/>
    <w:rsid w:val="003D6452"/>
    <w:rsid w:val="003D70BB"/>
    <w:rsid w:val="003E2396"/>
    <w:rsid w:val="003E23D7"/>
    <w:rsid w:val="003E4678"/>
    <w:rsid w:val="003E4AE7"/>
    <w:rsid w:val="003F1F91"/>
    <w:rsid w:val="003F246C"/>
    <w:rsid w:val="003F38D5"/>
    <w:rsid w:val="003F4307"/>
    <w:rsid w:val="003F4C7F"/>
    <w:rsid w:val="003F5449"/>
    <w:rsid w:val="003F57E8"/>
    <w:rsid w:val="003F6036"/>
    <w:rsid w:val="004013A6"/>
    <w:rsid w:val="004016B1"/>
    <w:rsid w:val="00402102"/>
    <w:rsid w:val="00405F58"/>
    <w:rsid w:val="00407133"/>
    <w:rsid w:val="00410F72"/>
    <w:rsid w:val="00411A89"/>
    <w:rsid w:val="00415D3C"/>
    <w:rsid w:val="00420992"/>
    <w:rsid w:val="00420C73"/>
    <w:rsid w:val="0042356D"/>
    <w:rsid w:val="00423F7B"/>
    <w:rsid w:val="00425D38"/>
    <w:rsid w:val="00427A9F"/>
    <w:rsid w:val="004303E9"/>
    <w:rsid w:val="004313AB"/>
    <w:rsid w:val="00431E6D"/>
    <w:rsid w:val="00433414"/>
    <w:rsid w:val="0043489E"/>
    <w:rsid w:val="00434B73"/>
    <w:rsid w:val="0043589A"/>
    <w:rsid w:val="00441A29"/>
    <w:rsid w:val="00443F13"/>
    <w:rsid w:val="00444A8A"/>
    <w:rsid w:val="00446F9B"/>
    <w:rsid w:val="00447301"/>
    <w:rsid w:val="00447D59"/>
    <w:rsid w:val="00452466"/>
    <w:rsid w:val="00452901"/>
    <w:rsid w:val="00453C04"/>
    <w:rsid w:val="00453F7C"/>
    <w:rsid w:val="00454571"/>
    <w:rsid w:val="0045535F"/>
    <w:rsid w:val="0045567F"/>
    <w:rsid w:val="00455DFE"/>
    <w:rsid w:val="00456FD2"/>
    <w:rsid w:val="004663EC"/>
    <w:rsid w:val="00466623"/>
    <w:rsid w:val="00472B23"/>
    <w:rsid w:val="004757AB"/>
    <w:rsid w:val="00476A2A"/>
    <w:rsid w:val="00476E69"/>
    <w:rsid w:val="004776E4"/>
    <w:rsid w:val="00477DD6"/>
    <w:rsid w:val="004805ED"/>
    <w:rsid w:val="00481D96"/>
    <w:rsid w:val="0048254C"/>
    <w:rsid w:val="00485887"/>
    <w:rsid w:val="00485B1A"/>
    <w:rsid w:val="0049126B"/>
    <w:rsid w:val="00492C0A"/>
    <w:rsid w:val="004972B9"/>
    <w:rsid w:val="004A06D9"/>
    <w:rsid w:val="004A1817"/>
    <w:rsid w:val="004A4E96"/>
    <w:rsid w:val="004A6F72"/>
    <w:rsid w:val="004B2FFF"/>
    <w:rsid w:val="004B32EA"/>
    <w:rsid w:val="004B39A0"/>
    <w:rsid w:val="004B4D46"/>
    <w:rsid w:val="004B5B04"/>
    <w:rsid w:val="004B5EB5"/>
    <w:rsid w:val="004B5F24"/>
    <w:rsid w:val="004B7B52"/>
    <w:rsid w:val="004C1273"/>
    <w:rsid w:val="004C12CE"/>
    <w:rsid w:val="004C6B5A"/>
    <w:rsid w:val="004C7014"/>
    <w:rsid w:val="004C7F4B"/>
    <w:rsid w:val="004D0A2C"/>
    <w:rsid w:val="004D0D19"/>
    <w:rsid w:val="004D2B8B"/>
    <w:rsid w:val="004D2D08"/>
    <w:rsid w:val="004D39D9"/>
    <w:rsid w:val="004D48FD"/>
    <w:rsid w:val="004D4A62"/>
    <w:rsid w:val="004D5865"/>
    <w:rsid w:val="004D5FF2"/>
    <w:rsid w:val="004E2296"/>
    <w:rsid w:val="004E40B3"/>
    <w:rsid w:val="004E49DA"/>
    <w:rsid w:val="004E4BAB"/>
    <w:rsid w:val="004E734E"/>
    <w:rsid w:val="004E7976"/>
    <w:rsid w:val="004F1220"/>
    <w:rsid w:val="004F31E0"/>
    <w:rsid w:val="004F4161"/>
    <w:rsid w:val="004F7202"/>
    <w:rsid w:val="004F7345"/>
    <w:rsid w:val="004F7403"/>
    <w:rsid w:val="004F7E44"/>
    <w:rsid w:val="0050112A"/>
    <w:rsid w:val="005018DE"/>
    <w:rsid w:val="005046C9"/>
    <w:rsid w:val="00505B44"/>
    <w:rsid w:val="00506AE3"/>
    <w:rsid w:val="0050757A"/>
    <w:rsid w:val="00507F9D"/>
    <w:rsid w:val="00510750"/>
    <w:rsid w:val="00511427"/>
    <w:rsid w:val="00514845"/>
    <w:rsid w:val="0051616F"/>
    <w:rsid w:val="00516CAB"/>
    <w:rsid w:val="00516DD9"/>
    <w:rsid w:val="00517A00"/>
    <w:rsid w:val="00524BD3"/>
    <w:rsid w:val="00530B5A"/>
    <w:rsid w:val="00533442"/>
    <w:rsid w:val="005339B9"/>
    <w:rsid w:val="005346EE"/>
    <w:rsid w:val="005349E6"/>
    <w:rsid w:val="00534CEB"/>
    <w:rsid w:val="00535659"/>
    <w:rsid w:val="00536186"/>
    <w:rsid w:val="005363F1"/>
    <w:rsid w:val="005365ED"/>
    <w:rsid w:val="0053740C"/>
    <w:rsid w:val="00537686"/>
    <w:rsid w:val="00542A45"/>
    <w:rsid w:val="00544C61"/>
    <w:rsid w:val="00547CD7"/>
    <w:rsid w:val="00550755"/>
    <w:rsid w:val="00552FAC"/>
    <w:rsid w:val="0055440F"/>
    <w:rsid w:val="005552C9"/>
    <w:rsid w:val="0055797F"/>
    <w:rsid w:val="00564B2B"/>
    <w:rsid w:val="00565971"/>
    <w:rsid w:val="00565A7C"/>
    <w:rsid w:val="005667F1"/>
    <w:rsid w:val="00567235"/>
    <w:rsid w:val="00567F46"/>
    <w:rsid w:val="005701AC"/>
    <w:rsid w:val="00571465"/>
    <w:rsid w:val="00571DC6"/>
    <w:rsid w:val="00572CC5"/>
    <w:rsid w:val="00572FF3"/>
    <w:rsid w:val="00573BA3"/>
    <w:rsid w:val="00575C0B"/>
    <w:rsid w:val="00575EC4"/>
    <w:rsid w:val="00581A9D"/>
    <w:rsid w:val="00582FA6"/>
    <w:rsid w:val="005830E3"/>
    <w:rsid w:val="00587611"/>
    <w:rsid w:val="005923AE"/>
    <w:rsid w:val="00592B5A"/>
    <w:rsid w:val="00597C06"/>
    <w:rsid w:val="005A02AC"/>
    <w:rsid w:val="005A5C9B"/>
    <w:rsid w:val="005A73FC"/>
    <w:rsid w:val="005B057D"/>
    <w:rsid w:val="005B05AC"/>
    <w:rsid w:val="005B0986"/>
    <w:rsid w:val="005B16CD"/>
    <w:rsid w:val="005B1E28"/>
    <w:rsid w:val="005B488B"/>
    <w:rsid w:val="005B4C39"/>
    <w:rsid w:val="005B4C7F"/>
    <w:rsid w:val="005C4140"/>
    <w:rsid w:val="005C4A8D"/>
    <w:rsid w:val="005C6C20"/>
    <w:rsid w:val="005D0A10"/>
    <w:rsid w:val="005D1FE0"/>
    <w:rsid w:val="005E0E56"/>
    <w:rsid w:val="005E26BE"/>
    <w:rsid w:val="005E37B6"/>
    <w:rsid w:val="005E4483"/>
    <w:rsid w:val="005E507C"/>
    <w:rsid w:val="005E6B73"/>
    <w:rsid w:val="005E74A4"/>
    <w:rsid w:val="005F0375"/>
    <w:rsid w:val="005F0F9C"/>
    <w:rsid w:val="005F2923"/>
    <w:rsid w:val="005F4427"/>
    <w:rsid w:val="005F443A"/>
    <w:rsid w:val="005F4D62"/>
    <w:rsid w:val="005F65E7"/>
    <w:rsid w:val="005F6D10"/>
    <w:rsid w:val="006008E3"/>
    <w:rsid w:val="00600F41"/>
    <w:rsid w:val="006079EF"/>
    <w:rsid w:val="006162EB"/>
    <w:rsid w:val="00616570"/>
    <w:rsid w:val="0061662C"/>
    <w:rsid w:val="00616F1C"/>
    <w:rsid w:val="00620D29"/>
    <w:rsid w:val="0062196C"/>
    <w:rsid w:val="00624C60"/>
    <w:rsid w:val="00625397"/>
    <w:rsid w:val="00625D8E"/>
    <w:rsid w:val="0062645B"/>
    <w:rsid w:val="00626551"/>
    <w:rsid w:val="00627F68"/>
    <w:rsid w:val="00630C6A"/>
    <w:rsid w:val="00632ECD"/>
    <w:rsid w:val="00633C61"/>
    <w:rsid w:val="00637289"/>
    <w:rsid w:val="00641F1C"/>
    <w:rsid w:val="006424F3"/>
    <w:rsid w:val="00642912"/>
    <w:rsid w:val="006457AB"/>
    <w:rsid w:val="00647B61"/>
    <w:rsid w:val="00651A29"/>
    <w:rsid w:val="00651F3C"/>
    <w:rsid w:val="00652BED"/>
    <w:rsid w:val="0065450A"/>
    <w:rsid w:val="00654A56"/>
    <w:rsid w:val="006551DF"/>
    <w:rsid w:val="006556FE"/>
    <w:rsid w:val="006576C6"/>
    <w:rsid w:val="006613D3"/>
    <w:rsid w:val="00662443"/>
    <w:rsid w:val="00663D2C"/>
    <w:rsid w:val="0066542A"/>
    <w:rsid w:val="0066585D"/>
    <w:rsid w:val="00665E36"/>
    <w:rsid w:val="006660F6"/>
    <w:rsid w:val="00667746"/>
    <w:rsid w:val="0067012B"/>
    <w:rsid w:val="00674D06"/>
    <w:rsid w:val="00674EFE"/>
    <w:rsid w:val="006829BE"/>
    <w:rsid w:val="00686D40"/>
    <w:rsid w:val="00690192"/>
    <w:rsid w:val="006A00F4"/>
    <w:rsid w:val="006A05D7"/>
    <w:rsid w:val="006A24EF"/>
    <w:rsid w:val="006A2CA4"/>
    <w:rsid w:val="006A2D26"/>
    <w:rsid w:val="006A34DC"/>
    <w:rsid w:val="006A4967"/>
    <w:rsid w:val="006A4DDB"/>
    <w:rsid w:val="006A59CC"/>
    <w:rsid w:val="006A6A7C"/>
    <w:rsid w:val="006B0D63"/>
    <w:rsid w:val="006B2341"/>
    <w:rsid w:val="006B3812"/>
    <w:rsid w:val="006B3AEF"/>
    <w:rsid w:val="006C47FB"/>
    <w:rsid w:val="006C4E83"/>
    <w:rsid w:val="006C6918"/>
    <w:rsid w:val="006D0D13"/>
    <w:rsid w:val="006D190A"/>
    <w:rsid w:val="006D3136"/>
    <w:rsid w:val="006D69B3"/>
    <w:rsid w:val="006D73B9"/>
    <w:rsid w:val="006D768F"/>
    <w:rsid w:val="006D7DD5"/>
    <w:rsid w:val="006E1C14"/>
    <w:rsid w:val="006E2A7F"/>
    <w:rsid w:val="006E2AEE"/>
    <w:rsid w:val="006E5810"/>
    <w:rsid w:val="006E623B"/>
    <w:rsid w:val="006E6D1E"/>
    <w:rsid w:val="006F05AE"/>
    <w:rsid w:val="006F0CF7"/>
    <w:rsid w:val="006F226D"/>
    <w:rsid w:val="006F3A3A"/>
    <w:rsid w:val="006F7284"/>
    <w:rsid w:val="0070079B"/>
    <w:rsid w:val="007020F3"/>
    <w:rsid w:val="00703E0B"/>
    <w:rsid w:val="007049E7"/>
    <w:rsid w:val="0070569B"/>
    <w:rsid w:val="00705737"/>
    <w:rsid w:val="00706DD5"/>
    <w:rsid w:val="0071096F"/>
    <w:rsid w:val="00712067"/>
    <w:rsid w:val="00715264"/>
    <w:rsid w:val="007153C5"/>
    <w:rsid w:val="007156C7"/>
    <w:rsid w:val="00715864"/>
    <w:rsid w:val="00717791"/>
    <w:rsid w:val="00720B38"/>
    <w:rsid w:val="00723CDE"/>
    <w:rsid w:val="00724608"/>
    <w:rsid w:val="00731AEA"/>
    <w:rsid w:val="0073307F"/>
    <w:rsid w:val="00735490"/>
    <w:rsid w:val="0073734A"/>
    <w:rsid w:val="00740E9A"/>
    <w:rsid w:val="00741D3D"/>
    <w:rsid w:val="00742353"/>
    <w:rsid w:val="00742ABD"/>
    <w:rsid w:val="00743F44"/>
    <w:rsid w:val="00744B65"/>
    <w:rsid w:val="00744C90"/>
    <w:rsid w:val="007450EB"/>
    <w:rsid w:val="00745657"/>
    <w:rsid w:val="00746ABB"/>
    <w:rsid w:val="00746D6E"/>
    <w:rsid w:val="00750855"/>
    <w:rsid w:val="00750FFF"/>
    <w:rsid w:val="00751593"/>
    <w:rsid w:val="00754498"/>
    <w:rsid w:val="00755550"/>
    <w:rsid w:val="007607B1"/>
    <w:rsid w:val="007620A4"/>
    <w:rsid w:val="00764590"/>
    <w:rsid w:val="00770628"/>
    <w:rsid w:val="007716B0"/>
    <w:rsid w:val="00771C06"/>
    <w:rsid w:val="00773092"/>
    <w:rsid w:val="00773264"/>
    <w:rsid w:val="00775900"/>
    <w:rsid w:val="00776179"/>
    <w:rsid w:val="007763AE"/>
    <w:rsid w:val="00776411"/>
    <w:rsid w:val="00776D03"/>
    <w:rsid w:val="00782B2D"/>
    <w:rsid w:val="0078455D"/>
    <w:rsid w:val="007848B0"/>
    <w:rsid w:val="00784ACB"/>
    <w:rsid w:val="00791BE2"/>
    <w:rsid w:val="00792E81"/>
    <w:rsid w:val="00795491"/>
    <w:rsid w:val="007955F5"/>
    <w:rsid w:val="00795D02"/>
    <w:rsid w:val="007A0A27"/>
    <w:rsid w:val="007A261F"/>
    <w:rsid w:val="007A515C"/>
    <w:rsid w:val="007A5E7A"/>
    <w:rsid w:val="007A6223"/>
    <w:rsid w:val="007A6FBF"/>
    <w:rsid w:val="007A7FA4"/>
    <w:rsid w:val="007B37D4"/>
    <w:rsid w:val="007B77D1"/>
    <w:rsid w:val="007B7C5F"/>
    <w:rsid w:val="007B7FD7"/>
    <w:rsid w:val="007C350B"/>
    <w:rsid w:val="007C4023"/>
    <w:rsid w:val="007C4875"/>
    <w:rsid w:val="007C4FF9"/>
    <w:rsid w:val="007C60D5"/>
    <w:rsid w:val="007C7507"/>
    <w:rsid w:val="007D1941"/>
    <w:rsid w:val="007D41CB"/>
    <w:rsid w:val="007D5457"/>
    <w:rsid w:val="007D55A2"/>
    <w:rsid w:val="007D58B4"/>
    <w:rsid w:val="007E148A"/>
    <w:rsid w:val="007E44CD"/>
    <w:rsid w:val="007E580A"/>
    <w:rsid w:val="007E74A8"/>
    <w:rsid w:val="007F2886"/>
    <w:rsid w:val="007F7DCA"/>
    <w:rsid w:val="00801EA5"/>
    <w:rsid w:val="008049E5"/>
    <w:rsid w:val="00807CC6"/>
    <w:rsid w:val="008100A8"/>
    <w:rsid w:val="00810444"/>
    <w:rsid w:val="00810702"/>
    <w:rsid w:val="00815CCC"/>
    <w:rsid w:val="00820E43"/>
    <w:rsid w:val="00821A68"/>
    <w:rsid w:val="008223CC"/>
    <w:rsid w:val="00825D2D"/>
    <w:rsid w:val="00827B9A"/>
    <w:rsid w:val="00831F8D"/>
    <w:rsid w:val="00832917"/>
    <w:rsid w:val="008343BB"/>
    <w:rsid w:val="00835BD1"/>
    <w:rsid w:val="0083682E"/>
    <w:rsid w:val="00836D8D"/>
    <w:rsid w:val="0083734D"/>
    <w:rsid w:val="00837E49"/>
    <w:rsid w:val="0084103C"/>
    <w:rsid w:val="00841366"/>
    <w:rsid w:val="008426E6"/>
    <w:rsid w:val="008438FA"/>
    <w:rsid w:val="008444CA"/>
    <w:rsid w:val="00846749"/>
    <w:rsid w:val="00847F60"/>
    <w:rsid w:val="008502E1"/>
    <w:rsid w:val="00855CA6"/>
    <w:rsid w:val="00856C78"/>
    <w:rsid w:val="00860FE3"/>
    <w:rsid w:val="008654D6"/>
    <w:rsid w:val="00865A10"/>
    <w:rsid w:val="0086762C"/>
    <w:rsid w:val="008717B7"/>
    <w:rsid w:val="00874EF3"/>
    <w:rsid w:val="00875C3D"/>
    <w:rsid w:val="0087616E"/>
    <w:rsid w:val="00880466"/>
    <w:rsid w:val="00882AAE"/>
    <w:rsid w:val="00883E37"/>
    <w:rsid w:val="00883ED2"/>
    <w:rsid w:val="00884153"/>
    <w:rsid w:val="008842EA"/>
    <w:rsid w:val="00884A6D"/>
    <w:rsid w:val="008855B3"/>
    <w:rsid w:val="00885C39"/>
    <w:rsid w:val="008867D5"/>
    <w:rsid w:val="00886F2E"/>
    <w:rsid w:val="00897042"/>
    <w:rsid w:val="008A10A3"/>
    <w:rsid w:val="008A5776"/>
    <w:rsid w:val="008A6212"/>
    <w:rsid w:val="008A6422"/>
    <w:rsid w:val="008A6BEF"/>
    <w:rsid w:val="008B3430"/>
    <w:rsid w:val="008B417A"/>
    <w:rsid w:val="008B4AD2"/>
    <w:rsid w:val="008B4FBF"/>
    <w:rsid w:val="008C12B0"/>
    <w:rsid w:val="008C1389"/>
    <w:rsid w:val="008C1918"/>
    <w:rsid w:val="008C2A83"/>
    <w:rsid w:val="008C46B7"/>
    <w:rsid w:val="008D20AF"/>
    <w:rsid w:val="008D59A1"/>
    <w:rsid w:val="008D6309"/>
    <w:rsid w:val="008E0751"/>
    <w:rsid w:val="008E1498"/>
    <w:rsid w:val="008E1D92"/>
    <w:rsid w:val="008E23CE"/>
    <w:rsid w:val="008E4449"/>
    <w:rsid w:val="008E6B10"/>
    <w:rsid w:val="008E7F6E"/>
    <w:rsid w:val="008F06C8"/>
    <w:rsid w:val="008F162C"/>
    <w:rsid w:val="008F33F6"/>
    <w:rsid w:val="008F44F5"/>
    <w:rsid w:val="008F719C"/>
    <w:rsid w:val="008F7ABA"/>
    <w:rsid w:val="008F7CBC"/>
    <w:rsid w:val="009005AC"/>
    <w:rsid w:val="00900B49"/>
    <w:rsid w:val="00901E63"/>
    <w:rsid w:val="00903525"/>
    <w:rsid w:val="00903A9A"/>
    <w:rsid w:val="009043FD"/>
    <w:rsid w:val="00906762"/>
    <w:rsid w:val="009119BA"/>
    <w:rsid w:val="009152D5"/>
    <w:rsid w:val="00917D8F"/>
    <w:rsid w:val="009221F1"/>
    <w:rsid w:val="009228B9"/>
    <w:rsid w:val="00926B4D"/>
    <w:rsid w:val="009309CB"/>
    <w:rsid w:val="009316C0"/>
    <w:rsid w:val="00931E57"/>
    <w:rsid w:val="00931F68"/>
    <w:rsid w:val="00933D89"/>
    <w:rsid w:val="0093624F"/>
    <w:rsid w:val="009369EF"/>
    <w:rsid w:val="009404AC"/>
    <w:rsid w:val="00940EF6"/>
    <w:rsid w:val="00945186"/>
    <w:rsid w:val="00945746"/>
    <w:rsid w:val="009462A5"/>
    <w:rsid w:val="0094783D"/>
    <w:rsid w:val="00950A3A"/>
    <w:rsid w:val="00951C5E"/>
    <w:rsid w:val="00955AB9"/>
    <w:rsid w:val="009570FD"/>
    <w:rsid w:val="00957CBF"/>
    <w:rsid w:val="009608DF"/>
    <w:rsid w:val="009624FB"/>
    <w:rsid w:val="009647ED"/>
    <w:rsid w:val="00965328"/>
    <w:rsid w:val="009658A3"/>
    <w:rsid w:val="009663F6"/>
    <w:rsid w:val="0097063B"/>
    <w:rsid w:val="009706C3"/>
    <w:rsid w:val="009711FF"/>
    <w:rsid w:val="00972EE1"/>
    <w:rsid w:val="00973B37"/>
    <w:rsid w:val="009745FE"/>
    <w:rsid w:val="00975A0F"/>
    <w:rsid w:val="00983CBB"/>
    <w:rsid w:val="00985E2D"/>
    <w:rsid w:val="00991E0B"/>
    <w:rsid w:val="00992F60"/>
    <w:rsid w:val="009935EC"/>
    <w:rsid w:val="0099430C"/>
    <w:rsid w:val="009955C7"/>
    <w:rsid w:val="00995A80"/>
    <w:rsid w:val="00997021"/>
    <w:rsid w:val="009A18A6"/>
    <w:rsid w:val="009A26BD"/>
    <w:rsid w:val="009A392F"/>
    <w:rsid w:val="009A5943"/>
    <w:rsid w:val="009A5D7D"/>
    <w:rsid w:val="009A77CF"/>
    <w:rsid w:val="009A7B8E"/>
    <w:rsid w:val="009A7CD7"/>
    <w:rsid w:val="009B1258"/>
    <w:rsid w:val="009B43A6"/>
    <w:rsid w:val="009B50ED"/>
    <w:rsid w:val="009B6C62"/>
    <w:rsid w:val="009C59A3"/>
    <w:rsid w:val="009C6223"/>
    <w:rsid w:val="009C74C1"/>
    <w:rsid w:val="009D00A8"/>
    <w:rsid w:val="009D05B8"/>
    <w:rsid w:val="009D0FB9"/>
    <w:rsid w:val="009D1941"/>
    <w:rsid w:val="009D2109"/>
    <w:rsid w:val="009D35A8"/>
    <w:rsid w:val="009D4A70"/>
    <w:rsid w:val="009D7786"/>
    <w:rsid w:val="009D7E73"/>
    <w:rsid w:val="009E34B0"/>
    <w:rsid w:val="009E575F"/>
    <w:rsid w:val="009E5E0D"/>
    <w:rsid w:val="009E6E6F"/>
    <w:rsid w:val="009F4AA5"/>
    <w:rsid w:val="009F57E3"/>
    <w:rsid w:val="009F690B"/>
    <w:rsid w:val="009F74A6"/>
    <w:rsid w:val="00A02645"/>
    <w:rsid w:val="00A04D75"/>
    <w:rsid w:val="00A0586D"/>
    <w:rsid w:val="00A06306"/>
    <w:rsid w:val="00A10143"/>
    <w:rsid w:val="00A10A47"/>
    <w:rsid w:val="00A1441F"/>
    <w:rsid w:val="00A145D0"/>
    <w:rsid w:val="00A14AC3"/>
    <w:rsid w:val="00A15574"/>
    <w:rsid w:val="00A2022D"/>
    <w:rsid w:val="00A2194F"/>
    <w:rsid w:val="00A22E10"/>
    <w:rsid w:val="00A24A54"/>
    <w:rsid w:val="00A25D99"/>
    <w:rsid w:val="00A27179"/>
    <w:rsid w:val="00A2796C"/>
    <w:rsid w:val="00A30E88"/>
    <w:rsid w:val="00A319AF"/>
    <w:rsid w:val="00A319F3"/>
    <w:rsid w:val="00A31ACC"/>
    <w:rsid w:val="00A32ACF"/>
    <w:rsid w:val="00A3645D"/>
    <w:rsid w:val="00A36B92"/>
    <w:rsid w:val="00A402F5"/>
    <w:rsid w:val="00A4038A"/>
    <w:rsid w:val="00A43A1B"/>
    <w:rsid w:val="00A46D56"/>
    <w:rsid w:val="00A50380"/>
    <w:rsid w:val="00A505F5"/>
    <w:rsid w:val="00A52B64"/>
    <w:rsid w:val="00A54217"/>
    <w:rsid w:val="00A54554"/>
    <w:rsid w:val="00A55BC9"/>
    <w:rsid w:val="00A5740E"/>
    <w:rsid w:val="00A57C6E"/>
    <w:rsid w:val="00A6152A"/>
    <w:rsid w:val="00A61FCA"/>
    <w:rsid w:val="00A657B4"/>
    <w:rsid w:val="00A65AC8"/>
    <w:rsid w:val="00A7044B"/>
    <w:rsid w:val="00A72FC0"/>
    <w:rsid w:val="00A753C0"/>
    <w:rsid w:val="00A7620F"/>
    <w:rsid w:val="00A76455"/>
    <w:rsid w:val="00A80581"/>
    <w:rsid w:val="00A81A04"/>
    <w:rsid w:val="00A81D84"/>
    <w:rsid w:val="00A836B0"/>
    <w:rsid w:val="00A857B9"/>
    <w:rsid w:val="00A87E9A"/>
    <w:rsid w:val="00A90817"/>
    <w:rsid w:val="00A90B59"/>
    <w:rsid w:val="00A9238E"/>
    <w:rsid w:val="00A924C6"/>
    <w:rsid w:val="00A93BF9"/>
    <w:rsid w:val="00A96E39"/>
    <w:rsid w:val="00AA1158"/>
    <w:rsid w:val="00AA774E"/>
    <w:rsid w:val="00AB3608"/>
    <w:rsid w:val="00AB36E2"/>
    <w:rsid w:val="00AC428A"/>
    <w:rsid w:val="00AC5B0E"/>
    <w:rsid w:val="00AC739C"/>
    <w:rsid w:val="00AD12A6"/>
    <w:rsid w:val="00AD20CB"/>
    <w:rsid w:val="00AD3F2A"/>
    <w:rsid w:val="00AD4D1F"/>
    <w:rsid w:val="00AD696E"/>
    <w:rsid w:val="00AE26B2"/>
    <w:rsid w:val="00AE2E09"/>
    <w:rsid w:val="00AF07C5"/>
    <w:rsid w:val="00AF0F47"/>
    <w:rsid w:val="00AF4BEC"/>
    <w:rsid w:val="00AF5D45"/>
    <w:rsid w:val="00B01464"/>
    <w:rsid w:val="00B024B5"/>
    <w:rsid w:val="00B03512"/>
    <w:rsid w:val="00B0382C"/>
    <w:rsid w:val="00B03A64"/>
    <w:rsid w:val="00B03EDD"/>
    <w:rsid w:val="00B04957"/>
    <w:rsid w:val="00B05F33"/>
    <w:rsid w:val="00B073C9"/>
    <w:rsid w:val="00B07AC0"/>
    <w:rsid w:val="00B10D8B"/>
    <w:rsid w:val="00B12B29"/>
    <w:rsid w:val="00B146FF"/>
    <w:rsid w:val="00B154E4"/>
    <w:rsid w:val="00B15F73"/>
    <w:rsid w:val="00B175F0"/>
    <w:rsid w:val="00B20A30"/>
    <w:rsid w:val="00B26884"/>
    <w:rsid w:val="00B278B3"/>
    <w:rsid w:val="00B35EFA"/>
    <w:rsid w:val="00B40DFE"/>
    <w:rsid w:val="00B420C8"/>
    <w:rsid w:val="00B42C8E"/>
    <w:rsid w:val="00B4433D"/>
    <w:rsid w:val="00B45E8A"/>
    <w:rsid w:val="00B50830"/>
    <w:rsid w:val="00B510F6"/>
    <w:rsid w:val="00B5170F"/>
    <w:rsid w:val="00B53F31"/>
    <w:rsid w:val="00B5478D"/>
    <w:rsid w:val="00B572C1"/>
    <w:rsid w:val="00B61374"/>
    <w:rsid w:val="00B62A3A"/>
    <w:rsid w:val="00B62A79"/>
    <w:rsid w:val="00B65652"/>
    <w:rsid w:val="00B65C06"/>
    <w:rsid w:val="00B66AED"/>
    <w:rsid w:val="00B71335"/>
    <w:rsid w:val="00B724A7"/>
    <w:rsid w:val="00B73D82"/>
    <w:rsid w:val="00B81F8D"/>
    <w:rsid w:val="00B8260B"/>
    <w:rsid w:val="00B83A2A"/>
    <w:rsid w:val="00B85432"/>
    <w:rsid w:val="00B85BDB"/>
    <w:rsid w:val="00B878E4"/>
    <w:rsid w:val="00B90BCF"/>
    <w:rsid w:val="00B91A8B"/>
    <w:rsid w:val="00B9466B"/>
    <w:rsid w:val="00B948E1"/>
    <w:rsid w:val="00BA2A64"/>
    <w:rsid w:val="00BA4344"/>
    <w:rsid w:val="00BA4579"/>
    <w:rsid w:val="00BA4D1E"/>
    <w:rsid w:val="00BA5F55"/>
    <w:rsid w:val="00BB3001"/>
    <w:rsid w:val="00BB3A8E"/>
    <w:rsid w:val="00BB437B"/>
    <w:rsid w:val="00BB544D"/>
    <w:rsid w:val="00BB59BF"/>
    <w:rsid w:val="00BB72DA"/>
    <w:rsid w:val="00BC0C81"/>
    <w:rsid w:val="00BC0DD4"/>
    <w:rsid w:val="00BC171C"/>
    <w:rsid w:val="00BC39BC"/>
    <w:rsid w:val="00BC6B98"/>
    <w:rsid w:val="00BC7498"/>
    <w:rsid w:val="00BD751F"/>
    <w:rsid w:val="00BE047F"/>
    <w:rsid w:val="00BE217B"/>
    <w:rsid w:val="00BE2B90"/>
    <w:rsid w:val="00BE6A03"/>
    <w:rsid w:val="00BE6D6A"/>
    <w:rsid w:val="00BF3B09"/>
    <w:rsid w:val="00BF53F6"/>
    <w:rsid w:val="00BF673A"/>
    <w:rsid w:val="00C00087"/>
    <w:rsid w:val="00C05E69"/>
    <w:rsid w:val="00C06FF0"/>
    <w:rsid w:val="00C10AF5"/>
    <w:rsid w:val="00C12397"/>
    <w:rsid w:val="00C124ED"/>
    <w:rsid w:val="00C12BA8"/>
    <w:rsid w:val="00C13287"/>
    <w:rsid w:val="00C14353"/>
    <w:rsid w:val="00C143F8"/>
    <w:rsid w:val="00C2282E"/>
    <w:rsid w:val="00C22C98"/>
    <w:rsid w:val="00C23A8A"/>
    <w:rsid w:val="00C267F7"/>
    <w:rsid w:val="00C26A15"/>
    <w:rsid w:val="00C272C4"/>
    <w:rsid w:val="00C27518"/>
    <w:rsid w:val="00C40148"/>
    <w:rsid w:val="00C404FE"/>
    <w:rsid w:val="00C43CE8"/>
    <w:rsid w:val="00C43DD5"/>
    <w:rsid w:val="00C44085"/>
    <w:rsid w:val="00C4489F"/>
    <w:rsid w:val="00C44C97"/>
    <w:rsid w:val="00C45B15"/>
    <w:rsid w:val="00C46F0A"/>
    <w:rsid w:val="00C5016C"/>
    <w:rsid w:val="00C54BC3"/>
    <w:rsid w:val="00C5691E"/>
    <w:rsid w:val="00C570CC"/>
    <w:rsid w:val="00C577DF"/>
    <w:rsid w:val="00C60317"/>
    <w:rsid w:val="00C6040F"/>
    <w:rsid w:val="00C6048A"/>
    <w:rsid w:val="00C63842"/>
    <w:rsid w:val="00C6431F"/>
    <w:rsid w:val="00C64F4E"/>
    <w:rsid w:val="00C65949"/>
    <w:rsid w:val="00C669BE"/>
    <w:rsid w:val="00C67229"/>
    <w:rsid w:val="00C679A5"/>
    <w:rsid w:val="00C72C7C"/>
    <w:rsid w:val="00C73AEC"/>
    <w:rsid w:val="00C73FC5"/>
    <w:rsid w:val="00C75571"/>
    <w:rsid w:val="00C757A8"/>
    <w:rsid w:val="00C76960"/>
    <w:rsid w:val="00C77E1F"/>
    <w:rsid w:val="00C84409"/>
    <w:rsid w:val="00C87603"/>
    <w:rsid w:val="00C87F6B"/>
    <w:rsid w:val="00C9006A"/>
    <w:rsid w:val="00C91B07"/>
    <w:rsid w:val="00C94FD3"/>
    <w:rsid w:val="00C95E38"/>
    <w:rsid w:val="00C971BD"/>
    <w:rsid w:val="00CA1E8B"/>
    <w:rsid w:val="00CA43B8"/>
    <w:rsid w:val="00CA5684"/>
    <w:rsid w:val="00CB2AEC"/>
    <w:rsid w:val="00CB3BCE"/>
    <w:rsid w:val="00CC2CF8"/>
    <w:rsid w:val="00CC301E"/>
    <w:rsid w:val="00CC46E7"/>
    <w:rsid w:val="00CC61B5"/>
    <w:rsid w:val="00CD4505"/>
    <w:rsid w:val="00CD48FC"/>
    <w:rsid w:val="00CD57C1"/>
    <w:rsid w:val="00CD5FC3"/>
    <w:rsid w:val="00CD67CD"/>
    <w:rsid w:val="00CE0D80"/>
    <w:rsid w:val="00CE25AE"/>
    <w:rsid w:val="00CE4E3C"/>
    <w:rsid w:val="00CE7F50"/>
    <w:rsid w:val="00CF343C"/>
    <w:rsid w:val="00D01491"/>
    <w:rsid w:val="00D02353"/>
    <w:rsid w:val="00D05120"/>
    <w:rsid w:val="00D0535E"/>
    <w:rsid w:val="00D07DF9"/>
    <w:rsid w:val="00D11F9F"/>
    <w:rsid w:val="00D12126"/>
    <w:rsid w:val="00D23131"/>
    <w:rsid w:val="00D2374C"/>
    <w:rsid w:val="00D23886"/>
    <w:rsid w:val="00D25551"/>
    <w:rsid w:val="00D25C86"/>
    <w:rsid w:val="00D25F6C"/>
    <w:rsid w:val="00D269C6"/>
    <w:rsid w:val="00D27126"/>
    <w:rsid w:val="00D273BC"/>
    <w:rsid w:val="00D320A5"/>
    <w:rsid w:val="00D33664"/>
    <w:rsid w:val="00D34441"/>
    <w:rsid w:val="00D366D1"/>
    <w:rsid w:val="00D4491D"/>
    <w:rsid w:val="00D45062"/>
    <w:rsid w:val="00D45C29"/>
    <w:rsid w:val="00D46675"/>
    <w:rsid w:val="00D46F1F"/>
    <w:rsid w:val="00D47158"/>
    <w:rsid w:val="00D52FC7"/>
    <w:rsid w:val="00D54B31"/>
    <w:rsid w:val="00D5579B"/>
    <w:rsid w:val="00D60B1E"/>
    <w:rsid w:val="00D61B1E"/>
    <w:rsid w:val="00D61C9E"/>
    <w:rsid w:val="00D620D9"/>
    <w:rsid w:val="00D64D3D"/>
    <w:rsid w:val="00D64D7D"/>
    <w:rsid w:val="00D66216"/>
    <w:rsid w:val="00D6737E"/>
    <w:rsid w:val="00D71DA7"/>
    <w:rsid w:val="00D73E10"/>
    <w:rsid w:val="00D74A4A"/>
    <w:rsid w:val="00D75417"/>
    <w:rsid w:val="00D7629E"/>
    <w:rsid w:val="00D80E81"/>
    <w:rsid w:val="00D81586"/>
    <w:rsid w:val="00D84F5D"/>
    <w:rsid w:val="00D859C6"/>
    <w:rsid w:val="00D86FB6"/>
    <w:rsid w:val="00D90CC7"/>
    <w:rsid w:val="00D93B5C"/>
    <w:rsid w:val="00D93D4A"/>
    <w:rsid w:val="00D93E51"/>
    <w:rsid w:val="00D966CB"/>
    <w:rsid w:val="00DA08BB"/>
    <w:rsid w:val="00DA54E6"/>
    <w:rsid w:val="00DA7113"/>
    <w:rsid w:val="00DA71FC"/>
    <w:rsid w:val="00DB6F5B"/>
    <w:rsid w:val="00DB7D8B"/>
    <w:rsid w:val="00DC0422"/>
    <w:rsid w:val="00DC0F86"/>
    <w:rsid w:val="00DC2316"/>
    <w:rsid w:val="00DC4C9B"/>
    <w:rsid w:val="00DC7128"/>
    <w:rsid w:val="00DD059E"/>
    <w:rsid w:val="00DD50C4"/>
    <w:rsid w:val="00DD539C"/>
    <w:rsid w:val="00DE341D"/>
    <w:rsid w:val="00DE5A7D"/>
    <w:rsid w:val="00DF00F6"/>
    <w:rsid w:val="00DF2122"/>
    <w:rsid w:val="00DF3BCE"/>
    <w:rsid w:val="00DF3DF1"/>
    <w:rsid w:val="00DF5266"/>
    <w:rsid w:val="00E01826"/>
    <w:rsid w:val="00E04551"/>
    <w:rsid w:val="00E07A9E"/>
    <w:rsid w:val="00E127B7"/>
    <w:rsid w:val="00E13E52"/>
    <w:rsid w:val="00E15DAE"/>
    <w:rsid w:val="00E17F69"/>
    <w:rsid w:val="00E2086D"/>
    <w:rsid w:val="00E21850"/>
    <w:rsid w:val="00E23A52"/>
    <w:rsid w:val="00E23E7A"/>
    <w:rsid w:val="00E25B57"/>
    <w:rsid w:val="00E26A7C"/>
    <w:rsid w:val="00E272B3"/>
    <w:rsid w:val="00E308C7"/>
    <w:rsid w:val="00E31700"/>
    <w:rsid w:val="00E325A9"/>
    <w:rsid w:val="00E32752"/>
    <w:rsid w:val="00E36436"/>
    <w:rsid w:val="00E376A2"/>
    <w:rsid w:val="00E37F21"/>
    <w:rsid w:val="00E42241"/>
    <w:rsid w:val="00E44EE8"/>
    <w:rsid w:val="00E45AD4"/>
    <w:rsid w:val="00E4764E"/>
    <w:rsid w:val="00E52625"/>
    <w:rsid w:val="00E5593D"/>
    <w:rsid w:val="00E57FBD"/>
    <w:rsid w:val="00E600D6"/>
    <w:rsid w:val="00E605FA"/>
    <w:rsid w:val="00E6069A"/>
    <w:rsid w:val="00E62F81"/>
    <w:rsid w:val="00E63A09"/>
    <w:rsid w:val="00E65BFD"/>
    <w:rsid w:val="00E72BDD"/>
    <w:rsid w:val="00E72CF5"/>
    <w:rsid w:val="00E7496A"/>
    <w:rsid w:val="00E74D70"/>
    <w:rsid w:val="00E764F0"/>
    <w:rsid w:val="00E8217D"/>
    <w:rsid w:val="00E8499E"/>
    <w:rsid w:val="00E84CC4"/>
    <w:rsid w:val="00E86334"/>
    <w:rsid w:val="00E86E12"/>
    <w:rsid w:val="00E8709A"/>
    <w:rsid w:val="00E93CAC"/>
    <w:rsid w:val="00E94682"/>
    <w:rsid w:val="00E94DA1"/>
    <w:rsid w:val="00EA0F37"/>
    <w:rsid w:val="00EA1097"/>
    <w:rsid w:val="00EA1709"/>
    <w:rsid w:val="00EA537A"/>
    <w:rsid w:val="00EB18EB"/>
    <w:rsid w:val="00EB2086"/>
    <w:rsid w:val="00EB3B77"/>
    <w:rsid w:val="00EB4B6C"/>
    <w:rsid w:val="00EB5A4E"/>
    <w:rsid w:val="00EB6AD4"/>
    <w:rsid w:val="00EB7DED"/>
    <w:rsid w:val="00EC07FD"/>
    <w:rsid w:val="00EC21D5"/>
    <w:rsid w:val="00EC5E79"/>
    <w:rsid w:val="00ED1AEC"/>
    <w:rsid w:val="00ED25A5"/>
    <w:rsid w:val="00ED272C"/>
    <w:rsid w:val="00ED363D"/>
    <w:rsid w:val="00ED5691"/>
    <w:rsid w:val="00ED6746"/>
    <w:rsid w:val="00ED712B"/>
    <w:rsid w:val="00EE455D"/>
    <w:rsid w:val="00EE57D8"/>
    <w:rsid w:val="00EF2647"/>
    <w:rsid w:val="00EF526A"/>
    <w:rsid w:val="00EF5A4A"/>
    <w:rsid w:val="00F01CBE"/>
    <w:rsid w:val="00F023D4"/>
    <w:rsid w:val="00F04214"/>
    <w:rsid w:val="00F05C59"/>
    <w:rsid w:val="00F104F9"/>
    <w:rsid w:val="00F107A0"/>
    <w:rsid w:val="00F11760"/>
    <w:rsid w:val="00F13C1C"/>
    <w:rsid w:val="00F1463D"/>
    <w:rsid w:val="00F15AED"/>
    <w:rsid w:val="00F17182"/>
    <w:rsid w:val="00F204A5"/>
    <w:rsid w:val="00F23526"/>
    <w:rsid w:val="00F24110"/>
    <w:rsid w:val="00F242D2"/>
    <w:rsid w:val="00F243EE"/>
    <w:rsid w:val="00F24B77"/>
    <w:rsid w:val="00F24FCB"/>
    <w:rsid w:val="00F27C5F"/>
    <w:rsid w:val="00F30447"/>
    <w:rsid w:val="00F31D98"/>
    <w:rsid w:val="00F32288"/>
    <w:rsid w:val="00F328EC"/>
    <w:rsid w:val="00F337BC"/>
    <w:rsid w:val="00F34BDB"/>
    <w:rsid w:val="00F360B7"/>
    <w:rsid w:val="00F37049"/>
    <w:rsid w:val="00F407DF"/>
    <w:rsid w:val="00F428F8"/>
    <w:rsid w:val="00F42D57"/>
    <w:rsid w:val="00F43B2E"/>
    <w:rsid w:val="00F4473A"/>
    <w:rsid w:val="00F4512F"/>
    <w:rsid w:val="00F4681E"/>
    <w:rsid w:val="00F473E8"/>
    <w:rsid w:val="00F47857"/>
    <w:rsid w:val="00F50CA0"/>
    <w:rsid w:val="00F515E7"/>
    <w:rsid w:val="00F51998"/>
    <w:rsid w:val="00F52CE5"/>
    <w:rsid w:val="00F56461"/>
    <w:rsid w:val="00F61E77"/>
    <w:rsid w:val="00F66038"/>
    <w:rsid w:val="00F67336"/>
    <w:rsid w:val="00F70711"/>
    <w:rsid w:val="00F7495C"/>
    <w:rsid w:val="00F761E5"/>
    <w:rsid w:val="00F8189E"/>
    <w:rsid w:val="00F824FE"/>
    <w:rsid w:val="00F8610B"/>
    <w:rsid w:val="00F86E95"/>
    <w:rsid w:val="00F87336"/>
    <w:rsid w:val="00F91CA1"/>
    <w:rsid w:val="00F93DEA"/>
    <w:rsid w:val="00F94A18"/>
    <w:rsid w:val="00F95A1E"/>
    <w:rsid w:val="00F979AB"/>
    <w:rsid w:val="00FA075A"/>
    <w:rsid w:val="00FA0B81"/>
    <w:rsid w:val="00FA133D"/>
    <w:rsid w:val="00FA433F"/>
    <w:rsid w:val="00FA67EF"/>
    <w:rsid w:val="00FB3BA3"/>
    <w:rsid w:val="00FB6018"/>
    <w:rsid w:val="00FB674A"/>
    <w:rsid w:val="00FC167D"/>
    <w:rsid w:val="00FC2B00"/>
    <w:rsid w:val="00FC31CF"/>
    <w:rsid w:val="00FC6888"/>
    <w:rsid w:val="00FC6D79"/>
    <w:rsid w:val="00FC7A9C"/>
    <w:rsid w:val="00FD3241"/>
    <w:rsid w:val="00FD34A3"/>
    <w:rsid w:val="00FD5E88"/>
    <w:rsid w:val="00FE0D3C"/>
    <w:rsid w:val="00FE1DE0"/>
    <w:rsid w:val="00FE3A0C"/>
    <w:rsid w:val="00FE3BA4"/>
    <w:rsid w:val="00FF45FC"/>
    <w:rsid w:val="00FF52BF"/>
    <w:rsid w:val="00FF7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5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63EC"/>
    <w:pPr>
      <w:spacing w:after="0"/>
    </w:pPr>
    <w:rPr>
      <w:sz w:val="20"/>
      <w:szCs w:val="20"/>
    </w:rPr>
  </w:style>
  <w:style w:type="character" w:customStyle="1" w:styleId="FootnoteTextChar">
    <w:name w:val="Footnote Text Char"/>
    <w:basedOn w:val="DefaultParagraphFont"/>
    <w:link w:val="FootnoteText"/>
    <w:uiPriority w:val="99"/>
    <w:semiHidden/>
    <w:rsid w:val="004663EC"/>
    <w:rPr>
      <w:rFonts w:ascii="Times New Roman" w:hAnsi="Times New Roman"/>
      <w:sz w:val="20"/>
      <w:szCs w:val="20"/>
    </w:rPr>
  </w:style>
  <w:style w:type="character" w:styleId="FootnoteReference">
    <w:name w:val="footnote reference"/>
    <w:basedOn w:val="DefaultParagraphFont"/>
    <w:uiPriority w:val="99"/>
    <w:unhideWhenUsed/>
    <w:rsid w:val="004663EC"/>
    <w:rPr>
      <w:vertAlign w:val="superscript"/>
    </w:rPr>
  </w:style>
  <w:style w:type="paragraph" w:styleId="ListParagraph">
    <w:name w:val="List Paragraph"/>
    <w:basedOn w:val="Normal"/>
    <w:uiPriority w:val="99"/>
    <w:qFormat/>
    <w:rsid w:val="004663EC"/>
    <w:pPr>
      <w:spacing w:line="276" w:lineRule="auto"/>
      <w:ind w:left="720"/>
    </w:pPr>
    <w:rPr>
      <w:rFonts w:asciiTheme="minorHAnsi" w:hAnsiTheme="minorHAnsi"/>
      <w:szCs w:val="24"/>
      <w:lang w:bidi="en-US"/>
    </w:rPr>
  </w:style>
  <w:style w:type="character" w:styleId="Hyperlink">
    <w:name w:val="Hyperlink"/>
    <w:basedOn w:val="DefaultParagraphFont"/>
    <w:uiPriority w:val="99"/>
    <w:unhideWhenUsed/>
    <w:rsid w:val="004663EC"/>
    <w:rPr>
      <w:color w:val="0000FF" w:themeColor="hyperlink"/>
      <w:u w:val="single"/>
    </w:rPr>
  </w:style>
  <w:style w:type="paragraph" w:styleId="NoSpacing">
    <w:name w:val="No Spacing"/>
    <w:link w:val="NoSpacingChar"/>
    <w:uiPriority w:val="1"/>
    <w:qFormat/>
    <w:rsid w:val="00D45C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5C29"/>
    <w:rPr>
      <w:rFonts w:eastAsiaTheme="minorEastAsia"/>
      <w:lang w:eastAsia="ja-JP"/>
    </w:rPr>
  </w:style>
  <w:style w:type="paragraph" w:styleId="BalloonText">
    <w:name w:val="Balloon Text"/>
    <w:basedOn w:val="Normal"/>
    <w:link w:val="BalloonTextChar"/>
    <w:uiPriority w:val="99"/>
    <w:semiHidden/>
    <w:unhideWhenUsed/>
    <w:rsid w:val="00D45C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29"/>
    <w:rPr>
      <w:rFonts w:ascii="Tahoma" w:hAnsi="Tahoma" w:cs="Tahoma"/>
      <w:sz w:val="16"/>
      <w:szCs w:val="16"/>
    </w:rPr>
  </w:style>
  <w:style w:type="paragraph" w:styleId="Header">
    <w:name w:val="header"/>
    <w:basedOn w:val="Normal"/>
    <w:link w:val="HeaderChar"/>
    <w:uiPriority w:val="99"/>
    <w:unhideWhenUsed/>
    <w:rsid w:val="00D47158"/>
    <w:pPr>
      <w:tabs>
        <w:tab w:val="center" w:pos="4680"/>
        <w:tab w:val="right" w:pos="9360"/>
      </w:tabs>
      <w:spacing w:after="0"/>
    </w:pPr>
  </w:style>
  <w:style w:type="character" w:customStyle="1" w:styleId="HeaderChar">
    <w:name w:val="Header Char"/>
    <w:basedOn w:val="DefaultParagraphFont"/>
    <w:link w:val="Header"/>
    <w:uiPriority w:val="99"/>
    <w:rsid w:val="00D47158"/>
    <w:rPr>
      <w:rFonts w:ascii="Times New Roman" w:hAnsi="Times New Roman"/>
      <w:sz w:val="24"/>
    </w:rPr>
  </w:style>
  <w:style w:type="paragraph" w:styleId="Footer">
    <w:name w:val="footer"/>
    <w:basedOn w:val="Normal"/>
    <w:link w:val="FooterChar"/>
    <w:uiPriority w:val="99"/>
    <w:unhideWhenUsed/>
    <w:rsid w:val="00D47158"/>
    <w:pPr>
      <w:tabs>
        <w:tab w:val="center" w:pos="4680"/>
        <w:tab w:val="right" w:pos="9360"/>
      </w:tabs>
      <w:spacing w:after="0"/>
    </w:pPr>
  </w:style>
  <w:style w:type="character" w:customStyle="1" w:styleId="FooterChar">
    <w:name w:val="Footer Char"/>
    <w:basedOn w:val="DefaultParagraphFont"/>
    <w:link w:val="Footer"/>
    <w:uiPriority w:val="99"/>
    <w:rsid w:val="00D47158"/>
    <w:rPr>
      <w:rFonts w:ascii="Times New Roman" w:hAnsi="Times New Roman"/>
      <w:sz w:val="24"/>
    </w:rPr>
  </w:style>
  <w:style w:type="paragraph" w:customStyle="1" w:styleId="Default">
    <w:name w:val="Default"/>
    <w:uiPriority w:val="99"/>
    <w:rsid w:val="00251D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otnoteTextChar1">
    <w:name w:val="Footnote Text Char1"/>
    <w:aliases w:val="fn Char1,Footnote Text Char1 Char1 Char1,Footnote Text Char Char Char1 Char1,Footnote Text Char1 Char Char Char1,Footnote Text Char Char Char Char Char1"/>
    <w:basedOn w:val="DefaultParagraphFont"/>
    <w:uiPriority w:val="99"/>
    <w:locked/>
    <w:rsid w:val="00251D3E"/>
    <w:rPr>
      <w:rFonts w:cs="Times New Roman"/>
      <w:sz w:val="20"/>
      <w:szCs w:val="20"/>
    </w:rPr>
  </w:style>
  <w:style w:type="character" w:styleId="Emphasis">
    <w:name w:val="Emphasis"/>
    <w:basedOn w:val="DefaultParagraphFont"/>
    <w:uiPriority w:val="20"/>
    <w:qFormat/>
    <w:rsid w:val="006B3812"/>
    <w:rPr>
      <w:i/>
      <w:iCs/>
    </w:rPr>
  </w:style>
  <w:style w:type="character" w:styleId="CommentReference">
    <w:name w:val="annotation reference"/>
    <w:basedOn w:val="DefaultParagraphFont"/>
    <w:uiPriority w:val="99"/>
    <w:semiHidden/>
    <w:unhideWhenUsed/>
    <w:rsid w:val="00973B37"/>
    <w:rPr>
      <w:sz w:val="16"/>
      <w:szCs w:val="16"/>
    </w:rPr>
  </w:style>
  <w:style w:type="paragraph" w:styleId="CommentText">
    <w:name w:val="annotation text"/>
    <w:basedOn w:val="Normal"/>
    <w:link w:val="CommentTextChar"/>
    <w:uiPriority w:val="99"/>
    <w:semiHidden/>
    <w:unhideWhenUsed/>
    <w:rsid w:val="00973B37"/>
    <w:rPr>
      <w:sz w:val="20"/>
      <w:szCs w:val="20"/>
    </w:rPr>
  </w:style>
  <w:style w:type="character" w:customStyle="1" w:styleId="CommentTextChar">
    <w:name w:val="Comment Text Char"/>
    <w:basedOn w:val="DefaultParagraphFont"/>
    <w:link w:val="CommentText"/>
    <w:uiPriority w:val="99"/>
    <w:semiHidden/>
    <w:rsid w:val="00973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B37"/>
    <w:rPr>
      <w:b/>
      <w:bCs/>
    </w:rPr>
  </w:style>
  <w:style w:type="character" w:customStyle="1" w:styleId="CommentSubjectChar">
    <w:name w:val="Comment Subject Char"/>
    <w:basedOn w:val="CommentTextChar"/>
    <w:link w:val="CommentSubject"/>
    <w:uiPriority w:val="99"/>
    <w:semiHidden/>
    <w:rsid w:val="00973B37"/>
    <w:rPr>
      <w:rFonts w:ascii="Times New Roman" w:hAnsi="Times New Roman"/>
      <w:b/>
      <w:bCs/>
      <w:sz w:val="20"/>
      <w:szCs w:val="20"/>
    </w:rPr>
  </w:style>
  <w:style w:type="paragraph" w:styleId="Revision">
    <w:name w:val="Revision"/>
    <w:hidden/>
    <w:uiPriority w:val="99"/>
    <w:semiHidden/>
    <w:rsid w:val="00F24FCB"/>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DC2316"/>
    <w:rPr>
      <w:color w:val="808080"/>
    </w:rPr>
  </w:style>
  <w:style w:type="paragraph" w:customStyle="1" w:styleId="xmsolistparagraph">
    <w:name w:val="x_msolistparagraph"/>
    <w:basedOn w:val="Normal"/>
    <w:rsid w:val="00A5740E"/>
    <w:pPr>
      <w:spacing w:before="100" w:beforeAutospacing="1" w:after="100" w:afterAutospacing="1"/>
      <w:contextualSpacing w:val="0"/>
    </w:pPr>
    <w:rPr>
      <w:rFonts w:eastAsia="Times New Roman" w:cs="Times New Roman"/>
      <w:szCs w:val="24"/>
    </w:rPr>
  </w:style>
  <w:style w:type="character" w:customStyle="1" w:styleId="title-link-wrapper">
    <w:name w:val="title-link-wrapper"/>
    <w:basedOn w:val="DefaultParagraphFont"/>
    <w:rsid w:val="00795D02"/>
  </w:style>
  <w:style w:type="character" w:customStyle="1" w:styleId="hidden">
    <w:name w:val="hidden"/>
    <w:basedOn w:val="DefaultParagraphFont"/>
    <w:rsid w:val="00795D02"/>
  </w:style>
  <w:style w:type="character" w:customStyle="1" w:styleId="medium-font">
    <w:name w:val="medium-font"/>
    <w:basedOn w:val="DefaultParagraphFont"/>
    <w:rsid w:val="00795D02"/>
  </w:style>
  <w:style w:type="character" w:styleId="Strong">
    <w:name w:val="Strong"/>
    <w:basedOn w:val="DefaultParagraphFont"/>
    <w:uiPriority w:val="22"/>
    <w:qFormat/>
    <w:rsid w:val="00795D02"/>
    <w:rPr>
      <w:b/>
      <w:bCs/>
    </w:rPr>
  </w:style>
  <w:style w:type="paragraph" w:customStyle="1" w:styleId="abstract">
    <w:name w:val="abstract"/>
    <w:basedOn w:val="Normal"/>
    <w:rsid w:val="00795D02"/>
    <w:pPr>
      <w:spacing w:before="100" w:beforeAutospacing="1" w:after="100" w:afterAutospacing="1"/>
      <w:contextualSpacing w:val="0"/>
    </w:pPr>
    <w:rPr>
      <w:rFonts w:eastAsia="Times New Roman" w:cs="Times New Roman"/>
      <w:szCs w:val="24"/>
    </w:rPr>
  </w:style>
  <w:style w:type="character" w:customStyle="1" w:styleId="item">
    <w:name w:val="item"/>
    <w:basedOn w:val="DefaultParagraphFont"/>
    <w:rsid w:val="00795D02"/>
  </w:style>
  <w:style w:type="character" w:customStyle="1" w:styleId="icon">
    <w:name w:val="icon"/>
    <w:basedOn w:val="DefaultParagraphFont"/>
    <w:rsid w:val="00795D02"/>
  </w:style>
  <w:style w:type="character" w:customStyle="1" w:styleId="custom-link">
    <w:name w:val="custom-link"/>
    <w:basedOn w:val="DefaultParagraphFont"/>
    <w:rsid w:val="00795D02"/>
  </w:style>
  <w:style w:type="paragraph" w:customStyle="1" w:styleId="Caption1">
    <w:name w:val="Caption1"/>
    <w:basedOn w:val="Normal"/>
    <w:rsid w:val="00795D02"/>
    <w:pPr>
      <w:spacing w:before="100" w:beforeAutospacing="1" w:after="100" w:afterAutospacing="1"/>
      <w:contextualSpacing w:val="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5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63EC"/>
    <w:pPr>
      <w:spacing w:after="0"/>
    </w:pPr>
    <w:rPr>
      <w:sz w:val="20"/>
      <w:szCs w:val="20"/>
    </w:rPr>
  </w:style>
  <w:style w:type="character" w:customStyle="1" w:styleId="FootnoteTextChar">
    <w:name w:val="Footnote Text Char"/>
    <w:basedOn w:val="DefaultParagraphFont"/>
    <w:link w:val="FootnoteText"/>
    <w:uiPriority w:val="99"/>
    <w:semiHidden/>
    <w:rsid w:val="004663EC"/>
    <w:rPr>
      <w:rFonts w:ascii="Times New Roman" w:hAnsi="Times New Roman"/>
      <w:sz w:val="20"/>
      <w:szCs w:val="20"/>
    </w:rPr>
  </w:style>
  <w:style w:type="character" w:styleId="FootnoteReference">
    <w:name w:val="footnote reference"/>
    <w:basedOn w:val="DefaultParagraphFont"/>
    <w:uiPriority w:val="99"/>
    <w:unhideWhenUsed/>
    <w:rsid w:val="004663EC"/>
    <w:rPr>
      <w:vertAlign w:val="superscript"/>
    </w:rPr>
  </w:style>
  <w:style w:type="paragraph" w:styleId="ListParagraph">
    <w:name w:val="List Paragraph"/>
    <w:basedOn w:val="Normal"/>
    <w:uiPriority w:val="99"/>
    <w:qFormat/>
    <w:rsid w:val="004663EC"/>
    <w:pPr>
      <w:spacing w:line="276" w:lineRule="auto"/>
      <w:ind w:left="720"/>
    </w:pPr>
    <w:rPr>
      <w:rFonts w:asciiTheme="minorHAnsi" w:hAnsiTheme="minorHAnsi"/>
      <w:szCs w:val="24"/>
      <w:lang w:bidi="en-US"/>
    </w:rPr>
  </w:style>
  <w:style w:type="character" w:styleId="Hyperlink">
    <w:name w:val="Hyperlink"/>
    <w:basedOn w:val="DefaultParagraphFont"/>
    <w:uiPriority w:val="99"/>
    <w:unhideWhenUsed/>
    <w:rsid w:val="004663EC"/>
    <w:rPr>
      <w:color w:val="0000FF" w:themeColor="hyperlink"/>
      <w:u w:val="single"/>
    </w:rPr>
  </w:style>
  <w:style w:type="paragraph" w:styleId="NoSpacing">
    <w:name w:val="No Spacing"/>
    <w:link w:val="NoSpacingChar"/>
    <w:uiPriority w:val="1"/>
    <w:qFormat/>
    <w:rsid w:val="00D45C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5C29"/>
    <w:rPr>
      <w:rFonts w:eastAsiaTheme="minorEastAsia"/>
      <w:lang w:eastAsia="ja-JP"/>
    </w:rPr>
  </w:style>
  <w:style w:type="paragraph" w:styleId="BalloonText">
    <w:name w:val="Balloon Text"/>
    <w:basedOn w:val="Normal"/>
    <w:link w:val="BalloonTextChar"/>
    <w:uiPriority w:val="99"/>
    <w:semiHidden/>
    <w:unhideWhenUsed/>
    <w:rsid w:val="00D45C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29"/>
    <w:rPr>
      <w:rFonts w:ascii="Tahoma" w:hAnsi="Tahoma" w:cs="Tahoma"/>
      <w:sz w:val="16"/>
      <w:szCs w:val="16"/>
    </w:rPr>
  </w:style>
  <w:style w:type="paragraph" w:styleId="Header">
    <w:name w:val="header"/>
    <w:basedOn w:val="Normal"/>
    <w:link w:val="HeaderChar"/>
    <w:uiPriority w:val="99"/>
    <w:unhideWhenUsed/>
    <w:rsid w:val="00D47158"/>
    <w:pPr>
      <w:tabs>
        <w:tab w:val="center" w:pos="4680"/>
        <w:tab w:val="right" w:pos="9360"/>
      </w:tabs>
      <w:spacing w:after="0"/>
    </w:pPr>
  </w:style>
  <w:style w:type="character" w:customStyle="1" w:styleId="HeaderChar">
    <w:name w:val="Header Char"/>
    <w:basedOn w:val="DefaultParagraphFont"/>
    <w:link w:val="Header"/>
    <w:uiPriority w:val="99"/>
    <w:rsid w:val="00D47158"/>
    <w:rPr>
      <w:rFonts w:ascii="Times New Roman" w:hAnsi="Times New Roman"/>
      <w:sz w:val="24"/>
    </w:rPr>
  </w:style>
  <w:style w:type="paragraph" w:styleId="Footer">
    <w:name w:val="footer"/>
    <w:basedOn w:val="Normal"/>
    <w:link w:val="FooterChar"/>
    <w:uiPriority w:val="99"/>
    <w:unhideWhenUsed/>
    <w:rsid w:val="00D47158"/>
    <w:pPr>
      <w:tabs>
        <w:tab w:val="center" w:pos="4680"/>
        <w:tab w:val="right" w:pos="9360"/>
      </w:tabs>
      <w:spacing w:after="0"/>
    </w:pPr>
  </w:style>
  <w:style w:type="character" w:customStyle="1" w:styleId="FooterChar">
    <w:name w:val="Footer Char"/>
    <w:basedOn w:val="DefaultParagraphFont"/>
    <w:link w:val="Footer"/>
    <w:uiPriority w:val="99"/>
    <w:rsid w:val="00D47158"/>
    <w:rPr>
      <w:rFonts w:ascii="Times New Roman" w:hAnsi="Times New Roman"/>
      <w:sz w:val="24"/>
    </w:rPr>
  </w:style>
  <w:style w:type="paragraph" w:customStyle="1" w:styleId="Default">
    <w:name w:val="Default"/>
    <w:uiPriority w:val="99"/>
    <w:rsid w:val="00251D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otnoteTextChar1">
    <w:name w:val="Footnote Text Char1"/>
    <w:aliases w:val="fn Char1,Footnote Text Char1 Char1 Char1,Footnote Text Char Char Char1 Char1,Footnote Text Char1 Char Char Char1,Footnote Text Char Char Char Char Char1"/>
    <w:basedOn w:val="DefaultParagraphFont"/>
    <w:uiPriority w:val="99"/>
    <w:locked/>
    <w:rsid w:val="00251D3E"/>
    <w:rPr>
      <w:rFonts w:cs="Times New Roman"/>
      <w:sz w:val="20"/>
      <w:szCs w:val="20"/>
    </w:rPr>
  </w:style>
  <w:style w:type="character" w:styleId="Emphasis">
    <w:name w:val="Emphasis"/>
    <w:basedOn w:val="DefaultParagraphFont"/>
    <w:uiPriority w:val="20"/>
    <w:qFormat/>
    <w:rsid w:val="006B3812"/>
    <w:rPr>
      <w:i/>
      <w:iCs/>
    </w:rPr>
  </w:style>
  <w:style w:type="character" w:styleId="CommentReference">
    <w:name w:val="annotation reference"/>
    <w:basedOn w:val="DefaultParagraphFont"/>
    <w:uiPriority w:val="99"/>
    <w:semiHidden/>
    <w:unhideWhenUsed/>
    <w:rsid w:val="00973B37"/>
    <w:rPr>
      <w:sz w:val="16"/>
      <w:szCs w:val="16"/>
    </w:rPr>
  </w:style>
  <w:style w:type="paragraph" w:styleId="CommentText">
    <w:name w:val="annotation text"/>
    <w:basedOn w:val="Normal"/>
    <w:link w:val="CommentTextChar"/>
    <w:uiPriority w:val="99"/>
    <w:semiHidden/>
    <w:unhideWhenUsed/>
    <w:rsid w:val="00973B37"/>
    <w:rPr>
      <w:sz w:val="20"/>
      <w:szCs w:val="20"/>
    </w:rPr>
  </w:style>
  <w:style w:type="character" w:customStyle="1" w:styleId="CommentTextChar">
    <w:name w:val="Comment Text Char"/>
    <w:basedOn w:val="DefaultParagraphFont"/>
    <w:link w:val="CommentText"/>
    <w:uiPriority w:val="99"/>
    <w:semiHidden/>
    <w:rsid w:val="00973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B37"/>
    <w:rPr>
      <w:b/>
      <w:bCs/>
    </w:rPr>
  </w:style>
  <w:style w:type="character" w:customStyle="1" w:styleId="CommentSubjectChar">
    <w:name w:val="Comment Subject Char"/>
    <w:basedOn w:val="CommentTextChar"/>
    <w:link w:val="CommentSubject"/>
    <w:uiPriority w:val="99"/>
    <w:semiHidden/>
    <w:rsid w:val="00973B37"/>
    <w:rPr>
      <w:rFonts w:ascii="Times New Roman" w:hAnsi="Times New Roman"/>
      <w:b/>
      <w:bCs/>
      <w:sz w:val="20"/>
      <w:szCs w:val="20"/>
    </w:rPr>
  </w:style>
  <w:style w:type="paragraph" w:styleId="Revision">
    <w:name w:val="Revision"/>
    <w:hidden/>
    <w:uiPriority w:val="99"/>
    <w:semiHidden/>
    <w:rsid w:val="00F24FCB"/>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DC2316"/>
    <w:rPr>
      <w:color w:val="808080"/>
    </w:rPr>
  </w:style>
  <w:style w:type="paragraph" w:customStyle="1" w:styleId="xmsolistparagraph">
    <w:name w:val="x_msolistparagraph"/>
    <w:basedOn w:val="Normal"/>
    <w:rsid w:val="00A5740E"/>
    <w:pPr>
      <w:spacing w:before="100" w:beforeAutospacing="1" w:after="100" w:afterAutospacing="1"/>
      <w:contextualSpacing w:val="0"/>
    </w:pPr>
    <w:rPr>
      <w:rFonts w:eastAsia="Times New Roman" w:cs="Times New Roman"/>
      <w:szCs w:val="24"/>
    </w:rPr>
  </w:style>
  <w:style w:type="character" w:customStyle="1" w:styleId="title-link-wrapper">
    <w:name w:val="title-link-wrapper"/>
    <w:basedOn w:val="DefaultParagraphFont"/>
    <w:rsid w:val="00795D02"/>
  </w:style>
  <w:style w:type="character" w:customStyle="1" w:styleId="hidden">
    <w:name w:val="hidden"/>
    <w:basedOn w:val="DefaultParagraphFont"/>
    <w:rsid w:val="00795D02"/>
  </w:style>
  <w:style w:type="character" w:customStyle="1" w:styleId="medium-font">
    <w:name w:val="medium-font"/>
    <w:basedOn w:val="DefaultParagraphFont"/>
    <w:rsid w:val="00795D02"/>
  </w:style>
  <w:style w:type="character" w:styleId="Strong">
    <w:name w:val="Strong"/>
    <w:basedOn w:val="DefaultParagraphFont"/>
    <w:uiPriority w:val="22"/>
    <w:qFormat/>
    <w:rsid w:val="00795D02"/>
    <w:rPr>
      <w:b/>
      <w:bCs/>
    </w:rPr>
  </w:style>
  <w:style w:type="paragraph" w:customStyle="1" w:styleId="abstract">
    <w:name w:val="abstract"/>
    <w:basedOn w:val="Normal"/>
    <w:rsid w:val="00795D02"/>
    <w:pPr>
      <w:spacing w:before="100" w:beforeAutospacing="1" w:after="100" w:afterAutospacing="1"/>
      <w:contextualSpacing w:val="0"/>
    </w:pPr>
    <w:rPr>
      <w:rFonts w:eastAsia="Times New Roman" w:cs="Times New Roman"/>
      <w:szCs w:val="24"/>
    </w:rPr>
  </w:style>
  <w:style w:type="character" w:customStyle="1" w:styleId="item">
    <w:name w:val="item"/>
    <w:basedOn w:val="DefaultParagraphFont"/>
    <w:rsid w:val="00795D02"/>
  </w:style>
  <w:style w:type="character" w:customStyle="1" w:styleId="icon">
    <w:name w:val="icon"/>
    <w:basedOn w:val="DefaultParagraphFont"/>
    <w:rsid w:val="00795D02"/>
  </w:style>
  <w:style w:type="character" w:customStyle="1" w:styleId="custom-link">
    <w:name w:val="custom-link"/>
    <w:basedOn w:val="DefaultParagraphFont"/>
    <w:rsid w:val="00795D02"/>
  </w:style>
  <w:style w:type="paragraph" w:customStyle="1" w:styleId="Caption1">
    <w:name w:val="Caption1"/>
    <w:basedOn w:val="Normal"/>
    <w:rsid w:val="00795D02"/>
    <w:pPr>
      <w:spacing w:before="100" w:beforeAutospacing="1" w:after="100" w:afterAutospacing="1"/>
      <w:contextualSpacing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587">
      <w:bodyDiv w:val="1"/>
      <w:marLeft w:val="0"/>
      <w:marRight w:val="0"/>
      <w:marTop w:val="0"/>
      <w:marBottom w:val="0"/>
      <w:divBdr>
        <w:top w:val="none" w:sz="0" w:space="0" w:color="auto"/>
        <w:left w:val="none" w:sz="0" w:space="0" w:color="auto"/>
        <w:bottom w:val="none" w:sz="0" w:space="0" w:color="auto"/>
        <w:right w:val="none" w:sz="0" w:space="0" w:color="auto"/>
      </w:divBdr>
    </w:div>
    <w:div w:id="50425383">
      <w:bodyDiv w:val="1"/>
      <w:marLeft w:val="0"/>
      <w:marRight w:val="0"/>
      <w:marTop w:val="0"/>
      <w:marBottom w:val="0"/>
      <w:divBdr>
        <w:top w:val="none" w:sz="0" w:space="0" w:color="auto"/>
        <w:left w:val="none" w:sz="0" w:space="0" w:color="auto"/>
        <w:bottom w:val="none" w:sz="0" w:space="0" w:color="auto"/>
        <w:right w:val="none" w:sz="0" w:space="0" w:color="auto"/>
      </w:divBdr>
    </w:div>
    <w:div w:id="291136624">
      <w:bodyDiv w:val="1"/>
      <w:marLeft w:val="0"/>
      <w:marRight w:val="0"/>
      <w:marTop w:val="0"/>
      <w:marBottom w:val="0"/>
      <w:divBdr>
        <w:top w:val="none" w:sz="0" w:space="0" w:color="auto"/>
        <w:left w:val="none" w:sz="0" w:space="0" w:color="auto"/>
        <w:bottom w:val="none" w:sz="0" w:space="0" w:color="auto"/>
        <w:right w:val="none" w:sz="0" w:space="0" w:color="auto"/>
      </w:divBdr>
    </w:div>
    <w:div w:id="365909491">
      <w:bodyDiv w:val="1"/>
      <w:marLeft w:val="0"/>
      <w:marRight w:val="0"/>
      <w:marTop w:val="0"/>
      <w:marBottom w:val="0"/>
      <w:divBdr>
        <w:top w:val="none" w:sz="0" w:space="0" w:color="auto"/>
        <w:left w:val="none" w:sz="0" w:space="0" w:color="auto"/>
        <w:bottom w:val="none" w:sz="0" w:space="0" w:color="auto"/>
        <w:right w:val="none" w:sz="0" w:space="0" w:color="auto"/>
      </w:divBdr>
      <w:divsChild>
        <w:div w:id="1577278653">
          <w:marLeft w:val="0"/>
          <w:marRight w:val="0"/>
          <w:marTop w:val="0"/>
          <w:marBottom w:val="0"/>
          <w:divBdr>
            <w:top w:val="none" w:sz="0" w:space="0" w:color="auto"/>
            <w:left w:val="none" w:sz="0" w:space="0" w:color="auto"/>
            <w:bottom w:val="none" w:sz="0" w:space="0" w:color="auto"/>
            <w:right w:val="none" w:sz="0" w:space="0" w:color="auto"/>
          </w:divBdr>
        </w:div>
        <w:div w:id="1798791305">
          <w:marLeft w:val="0"/>
          <w:marRight w:val="0"/>
          <w:marTop w:val="0"/>
          <w:marBottom w:val="0"/>
          <w:divBdr>
            <w:top w:val="none" w:sz="0" w:space="0" w:color="auto"/>
            <w:left w:val="none" w:sz="0" w:space="0" w:color="auto"/>
            <w:bottom w:val="none" w:sz="0" w:space="0" w:color="auto"/>
            <w:right w:val="none" w:sz="0" w:space="0" w:color="auto"/>
          </w:divBdr>
        </w:div>
        <w:div w:id="517428786">
          <w:marLeft w:val="0"/>
          <w:marRight w:val="0"/>
          <w:marTop w:val="0"/>
          <w:marBottom w:val="0"/>
          <w:divBdr>
            <w:top w:val="none" w:sz="0" w:space="0" w:color="auto"/>
            <w:left w:val="none" w:sz="0" w:space="0" w:color="auto"/>
            <w:bottom w:val="none" w:sz="0" w:space="0" w:color="auto"/>
            <w:right w:val="none" w:sz="0" w:space="0" w:color="auto"/>
          </w:divBdr>
        </w:div>
        <w:div w:id="423768201">
          <w:marLeft w:val="0"/>
          <w:marRight w:val="0"/>
          <w:marTop w:val="0"/>
          <w:marBottom w:val="0"/>
          <w:divBdr>
            <w:top w:val="none" w:sz="0" w:space="0" w:color="auto"/>
            <w:left w:val="none" w:sz="0" w:space="0" w:color="auto"/>
            <w:bottom w:val="none" w:sz="0" w:space="0" w:color="auto"/>
            <w:right w:val="none" w:sz="0" w:space="0" w:color="auto"/>
          </w:divBdr>
          <w:divsChild>
            <w:div w:id="2083140003">
              <w:marLeft w:val="0"/>
              <w:marRight w:val="0"/>
              <w:marTop w:val="0"/>
              <w:marBottom w:val="0"/>
              <w:divBdr>
                <w:top w:val="none" w:sz="0" w:space="0" w:color="auto"/>
                <w:left w:val="none" w:sz="0" w:space="0" w:color="auto"/>
                <w:bottom w:val="none" w:sz="0" w:space="0" w:color="auto"/>
                <w:right w:val="none" w:sz="0" w:space="0" w:color="auto"/>
              </w:divBdr>
            </w:div>
            <w:div w:id="13780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9698">
      <w:bodyDiv w:val="1"/>
      <w:marLeft w:val="0"/>
      <w:marRight w:val="0"/>
      <w:marTop w:val="0"/>
      <w:marBottom w:val="0"/>
      <w:divBdr>
        <w:top w:val="none" w:sz="0" w:space="0" w:color="auto"/>
        <w:left w:val="none" w:sz="0" w:space="0" w:color="auto"/>
        <w:bottom w:val="none" w:sz="0" w:space="0" w:color="auto"/>
        <w:right w:val="none" w:sz="0" w:space="0" w:color="auto"/>
      </w:divBdr>
    </w:div>
    <w:div w:id="703604016">
      <w:bodyDiv w:val="1"/>
      <w:marLeft w:val="0"/>
      <w:marRight w:val="0"/>
      <w:marTop w:val="0"/>
      <w:marBottom w:val="0"/>
      <w:divBdr>
        <w:top w:val="none" w:sz="0" w:space="0" w:color="auto"/>
        <w:left w:val="none" w:sz="0" w:space="0" w:color="auto"/>
        <w:bottom w:val="none" w:sz="0" w:space="0" w:color="auto"/>
        <w:right w:val="none" w:sz="0" w:space="0" w:color="auto"/>
      </w:divBdr>
    </w:div>
    <w:div w:id="767700326">
      <w:bodyDiv w:val="1"/>
      <w:marLeft w:val="0"/>
      <w:marRight w:val="0"/>
      <w:marTop w:val="0"/>
      <w:marBottom w:val="0"/>
      <w:divBdr>
        <w:top w:val="none" w:sz="0" w:space="0" w:color="auto"/>
        <w:left w:val="none" w:sz="0" w:space="0" w:color="auto"/>
        <w:bottom w:val="none" w:sz="0" w:space="0" w:color="auto"/>
        <w:right w:val="none" w:sz="0" w:space="0" w:color="auto"/>
      </w:divBdr>
    </w:div>
    <w:div w:id="823742257">
      <w:bodyDiv w:val="1"/>
      <w:marLeft w:val="0"/>
      <w:marRight w:val="0"/>
      <w:marTop w:val="0"/>
      <w:marBottom w:val="0"/>
      <w:divBdr>
        <w:top w:val="none" w:sz="0" w:space="0" w:color="auto"/>
        <w:left w:val="none" w:sz="0" w:space="0" w:color="auto"/>
        <w:bottom w:val="none" w:sz="0" w:space="0" w:color="auto"/>
        <w:right w:val="none" w:sz="0" w:space="0" w:color="auto"/>
      </w:divBdr>
    </w:div>
    <w:div w:id="1190754440">
      <w:bodyDiv w:val="1"/>
      <w:marLeft w:val="0"/>
      <w:marRight w:val="0"/>
      <w:marTop w:val="0"/>
      <w:marBottom w:val="0"/>
      <w:divBdr>
        <w:top w:val="none" w:sz="0" w:space="0" w:color="auto"/>
        <w:left w:val="none" w:sz="0" w:space="0" w:color="auto"/>
        <w:bottom w:val="none" w:sz="0" w:space="0" w:color="auto"/>
        <w:right w:val="none" w:sz="0" w:space="0" w:color="auto"/>
      </w:divBdr>
    </w:div>
    <w:div w:id="1217200654">
      <w:bodyDiv w:val="1"/>
      <w:marLeft w:val="0"/>
      <w:marRight w:val="0"/>
      <w:marTop w:val="0"/>
      <w:marBottom w:val="0"/>
      <w:divBdr>
        <w:top w:val="none" w:sz="0" w:space="0" w:color="auto"/>
        <w:left w:val="none" w:sz="0" w:space="0" w:color="auto"/>
        <w:bottom w:val="none" w:sz="0" w:space="0" w:color="auto"/>
        <w:right w:val="none" w:sz="0" w:space="0" w:color="auto"/>
      </w:divBdr>
    </w:div>
    <w:div w:id="1307054495">
      <w:bodyDiv w:val="1"/>
      <w:marLeft w:val="0"/>
      <w:marRight w:val="0"/>
      <w:marTop w:val="0"/>
      <w:marBottom w:val="0"/>
      <w:divBdr>
        <w:top w:val="none" w:sz="0" w:space="0" w:color="auto"/>
        <w:left w:val="none" w:sz="0" w:space="0" w:color="auto"/>
        <w:bottom w:val="none" w:sz="0" w:space="0" w:color="auto"/>
        <w:right w:val="none" w:sz="0" w:space="0" w:color="auto"/>
      </w:divBdr>
    </w:div>
    <w:div w:id="1592273354">
      <w:bodyDiv w:val="1"/>
      <w:marLeft w:val="0"/>
      <w:marRight w:val="0"/>
      <w:marTop w:val="0"/>
      <w:marBottom w:val="0"/>
      <w:divBdr>
        <w:top w:val="none" w:sz="0" w:space="0" w:color="auto"/>
        <w:left w:val="none" w:sz="0" w:space="0" w:color="auto"/>
        <w:bottom w:val="none" w:sz="0" w:space="0" w:color="auto"/>
        <w:right w:val="none" w:sz="0" w:space="0" w:color="auto"/>
      </w:divBdr>
      <w:divsChild>
        <w:div w:id="1022976611">
          <w:marLeft w:val="0"/>
          <w:marRight w:val="0"/>
          <w:marTop w:val="0"/>
          <w:marBottom w:val="0"/>
          <w:divBdr>
            <w:top w:val="none" w:sz="0" w:space="0" w:color="auto"/>
            <w:left w:val="none" w:sz="0" w:space="0" w:color="auto"/>
            <w:bottom w:val="none" w:sz="0" w:space="0" w:color="auto"/>
            <w:right w:val="none" w:sz="0" w:space="0" w:color="auto"/>
          </w:divBdr>
        </w:div>
        <w:div w:id="209610999">
          <w:marLeft w:val="0"/>
          <w:marRight w:val="0"/>
          <w:marTop w:val="0"/>
          <w:marBottom w:val="0"/>
          <w:divBdr>
            <w:top w:val="none" w:sz="0" w:space="0" w:color="auto"/>
            <w:left w:val="none" w:sz="0" w:space="0" w:color="auto"/>
            <w:bottom w:val="none" w:sz="0" w:space="0" w:color="auto"/>
            <w:right w:val="none" w:sz="0" w:space="0" w:color="auto"/>
          </w:divBdr>
        </w:div>
        <w:div w:id="34085169">
          <w:marLeft w:val="0"/>
          <w:marRight w:val="0"/>
          <w:marTop w:val="0"/>
          <w:marBottom w:val="0"/>
          <w:divBdr>
            <w:top w:val="none" w:sz="0" w:space="0" w:color="auto"/>
            <w:left w:val="none" w:sz="0" w:space="0" w:color="auto"/>
            <w:bottom w:val="none" w:sz="0" w:space="0" w:color="auto"/>
            <w:right w:val="none" w:sz="0" w:space="0" w:color="auto"/>
          </w:divBdr>
        </w:div>
        <w:div w:id="1909144986">
          <w:marLeft w:val="0"/>
          <w:marRight w:val="0"/>
          <w:marTop w:val="0"/>
          <w:marBottom w:val="0"/>
          <w:divBdr>
            <w:top w:val="none" w:sz="0" w:space="0" w:color="auto"/>
            <w:left w:val="none" w:sz="0" w:space="0" w:color="auto"/>
            <w:bottom w:val="none" w:sz="0" w:space="0" w:color="auto"/>
            <w:right w:val="none" w:sz="0" w:space="0" w:color="auto"/>
          </w:divBdr>
          <w:divsChild>
            <w:div w:id="27486886">
              <w:marLeft w:val="0"/>
              <w:marRight w:val="0"/>
              <w:marTop w:val="0"/>
              <w:marBottom w:val="0"/>
              <w:divBdr>
                <w:top w:val="none" w:sz="0" w:space="0" w:color="auto"/>
                <w:left w:val="none" w:sz="0" w:space="0" w:color="auto"/>
                <w:bottom w:val="none" w:sz="0" w:space="0" w:color="auto"/>
                <w:right w:val="none" w:sz="0" w:space="0" w:color="auto"/>
              </w:divBdr>
            </w:div>
            <w:div w:id="3263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0572">
      <w:bodyDiv w:val="1"/>
      <w:marLeft w:val="0"/>
      <w:marRight w:val="0"/>
      <w:marTop w:val="0"/>
      <w:marBottom w:val="0"/>
      <w:divBdr>
        <w:top w:val="none" w:sz="0" w:space="0" w:color="auto"/>
        <w:left w:val="none" w:sz="0" w:space="0" w:color="auto"/>
        <w:bottom w:val="none" w:sz="0" w:space="0" w:color="auto"/>
        <w:right w:val="none" w:sz="0" w:space="0" w:color="auto"/>
      </w:divBdr>
    </w:div>
    <w:div w:id="1768845439">
      <w:bodyDiv w:val="1"/>
      <w:marLeft w:val="0"/>
      <w:marRight w:val="0"/>
      <w:marTop w:val="0"/>
      <w:marBottom w:val="0"/>
      <w:divBdr>
        <w:top w:val="none" w:sz="0" w:space="0" w:color="auto"/>
        <w:left w:val="none" w:sz="0" w:space="0" w:color="auto"/>
        <w:bottom w:val="none" w:sz="0" w:space="0" w:color="auto"/>
        <w:right w:val="none" w:sz="0" w:space="0" w:color="auto"/>
      </w:divBdr>
    </w:div>
    <w:div w:id="19747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ssa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fc.org/gsfcnew/SANDG_FACTS.CFM?sec=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interjh@uc.edu" TargetMode="External"/><Relationship Id="rId4" Type="http://schemas.microsoft.com/office/2007/relationships/stylesWithEffects" Target="stylesWithEffects.xml"/><Relationship Id="rId9" Type="http://schemas.openxmlformats.org/officeDocument/2006/relationships/hyperlink" Target="mailto:sjoquist@g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6D49-0DC4-4412-AE7D-2AC53911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12263</Words>
  <Characters>69904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The Effects of HOPE on Post-Schooling Retention in the Georgia Workforce</vt:lpstr>
    </vt:vector>
  </TitlesOfParts>
  <Company>gsu</Company>
  <LinksUpToDate>false</LinksUpToDate>
  <CharactersWithSpaces>82003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HOPE on Post-Schooling Retention in the Georgia Workforce</dc:title>
  <dc:creator>David L. Sjoquist		 John V. WintersGeorgia State University 	University of Cincinnati        sjoquist@gsu.edu	 johnwinters11@hotmail.com</dc:creator>
  <cp:lastModifiedBy>sjoquist</cp:lastModifiedBy>
  <cp:revision>2</cp:revision>
  <cp:lastPrinted>2013-02-15T18:25:00Z</cp:lastPrinted>
  <dcterms:created xsi:type="dcterms:W3CDTF">2013-10-11T16:14:00Z</dcterms:created>
  <dcterms:modified xsi:type="dcterms:W3CDTF">2013-10-11T16:14:00Z</dcterms:modified>
</cp:coreProperties>
</file>