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06" w:rsidRPr="00AE0715" w:rsidRDefault="008A5F30" w:rsidP="00FA418C">
      <w:pPr>
        <w:ind w:right="1440"/>
        <w:jc w:val="center"/>
        <w:rPr>
          <w:b/>
          <w:sz w:val="30"/>
          <w:szCs w:val="30"/>
        </w:rPr>
      </w:pPr>
      <w:bookmarkStart w:id="0" w:name="_GoBack"/>
      <w:bookmarkEnd w:id="0"/>
      <w:r w:rsidRPr="00AE0715">
        <w:rPr>
          <w:b/>
          <w:sz w:val="30"/>
          <w:szCs w:val="30"/>
        </w:rPr>
        <w:t xml:space="preserve">The Effect of Insurance Premium Taxes on </w:t>
      </w:r>
      <w:r>
        <w:rPr>
          <w:b/>
          <w:sz w:val="30"/>
          <w:szCs w:val="30"/>
        </w:rPr>
        <w:t>Interstate Differences in the Size of the Property-Casualty Insurance Industry</w:t>
      </w:r>
      <w:r w:rsidR="009301E0">
        <w:rPr>
          <w:b/>
          <w:sz w:val="30"/>
          <w:szCs w:val="30"/>
        </w:rPr>
        <w:t>*</w:t>
      </w:r>
    </w:p>
    <w:p w:rsidR="00644706" w:rsidRPr="00AE0715" w:rsidRDefault="00644706" w:rsidP="00FA418C">
      <w:pPr>
        <w:ind w:right="1440"/>
        <w:jc w:val="center"/>
        <w:rPr>
          <w:sz w:val="30"/>
          <w:szCs w:val="30"/>
        </w:rPr>
      </w:pPr>
    </w:p>
    <w:p w:rsidR="00380887" w:rsidRDefault="00380887" w:rsidP="00FA418C">
      <w:pPr>
        <w:ind w:right="1440"/>
        <w:jc w:val="center"/>
      </w:pPr>
    </w:p>
    <w:p w:rsidR="00644706" w:rsidRDefault="00644706" w:rsidP="00FA418C">
      <w:pPr>
        <w:ind w:right="1440"/>
        <w:jc w:val="center"/>
      </w:pPr>
    </w:p>
    <w:p w:rsidR="009301E0" w:rsidRDefault="009301E0" w:rsidP="00FA418C">
      <w:pPr>
        <w:ind w:right="1440"/>
        <w:jc w:val="center"/>
      </w:pPr>
    </w:p>
    <w:p w:rsidR="00644706" w:rsidRDefault="00644706" w:rsidP="00FA418C">
      <w:pPr>
        <w:ind w:right="1440"/>
      </w:pPr>
      <w:r>
        <w:t xml:space="preserve">Martin </w:t>
      </w:r>
      <w:r w:rsidR="00E85220">
        <w:t xml:space="preserve">F. </w:t>
      </w:r>
      <w:r>
        <w:t>Grace</w:t>
      </w:r>
    </w:p>
    <w:p w:rsidR="00D0360A" w:rsidRDefault="00D0360A" w:rsidP="00FA418C">
      <w:pPr>
        <w:ind w:right="1440"/>
      </w:pPr>
      <w:r>
        <w:t>Department of Risk Management and Insurance</w:t>
      </w:r>
    </w:p>
    <w:p w:rsidR="00D0360A" w:rsidRDefault="00D0360A" w:rsidP="00FA418C">
      <w:pPr>
        <w:ind w:right="1440"/>
      </w:pPr>
      <w:r>
        <w:t>Robinson College of Business</w:t>
      </w:r>
    </w:p>
    <w:p w:rsidR="00D0360A" w:rsidRDefault="00D0360A" w:rsidP="00FA418C">
      <w:pPr>
        <w:ind w:right="1440"/>
      </w:pPr>
      <w:r>
        <w:t>Georgia State University</w:t>
      </w:r>
    </w:p>
    <w:p w:rsidR="00D0360A" w:rsidRDefault="00D0360A" w:rsidP="00FA418C">
      <w:pPr>
        <w:ind w:right="1440"/>
      </w:pPr>
      <w:r>
        <w:t>Atlanta, Georgia 30303</w:t>
      </w:r>
    </w:p>
    <w:p w:rsidR="00D0360A" w:rsidRDefault="006A6632" w:rsidP="00FA418C">
      <w:pPr>
        <w:ind w:right="1440"/>
      </w:pPr>
      <w:r>
        <w:t>m</w:t>
      </w:r>
      <w:r w:rsidR="00D0360A">
        <w:t>grace@gsu.edu</w:t>
      </w:r>
    </w:p>
    <w:p w:rsidR="00644706" w:rsidRDefault="00644706" w:rsidP="00FA418C">
      <w:pPr>
        <w:ind w:right="1440"/>
        <w:jc w:val="center"/>
      </w:pPr>
    </w:p>
    <w:p w:rsidR="00644706" w:rsidRDefault="00644706" w:rsidP="00FA418C">
      <w:pPr>
        <w:ind w:right="1440"/>
      </w:pPr>
      <w:r>
        <w:t>David L. Sjoquist</w:t>
      </w:r>
      <w:r w:rsidR="00D0360A">
        <w:t xml:space="preserve"> (corresponding author)</w:t>
      </w:r>
    </w:p>
    <w:p w:rsidR="00D0360A" w:rsidRDefault="00D0360A" w:rsidP="00FA418C">
      <w:pPr>
        <w:ind w:right="1440"/>
      </w:pPr>
      <w:r>
        <w:t>Department of Economics</w:t>
      </w:r>
    </w:p>
    <w:p w:rsidR="00D0360A" w:rsidRDefault="00D0360A" w:rsidP="00FA418C">
      <w:pPr>
        <w:ind w:right="1440"/>
      </w:pPr>
      <w:r>
        <w:t>Andrew Young School of Policy Studies</w:t>
      </w:r>
      <w:r w:rsidRPr="00D0360A">
        <w:t xml:space="preserve"> </w:t>
      </w:r>
    </w:p>
    <w:p w:rsidR="00D0360A" w:rsidRDefault="00D0360A" w:rsidP="00FA418C">
      <w:pPr>
        <w:ind w:right="1440"/>
      </w:pPr>
      <w:r>
        <w:t>Georgia State University</w:t>
      </w:r>
    </w:p>
    <w:p w:rsidR="00D0360A" w:rsidRDefault="00D0360A" w:rsidP="00FA418C">
      <w:pPr>
        <w:ind w:right="1440"/>
      </w:pPr>
      <w:r>
        <w:t>Atlanta, Georgia 30303</w:t>
      </w:r>
    </w:p>
    <w:p w:rsidR="00D0360A" w:rsidRDefault="00D0360A" w:rsidP="00FA418C">
      <w:pPr>
        <w:ind w:right="1440"/>
      </w:pPr>
      <w:r>
        <w:t>sjoquist@gsu.ed</w:t>
      </w:r>
      <w:r w:rsidR="00CC6859">
        <w:t>u</w:t>
      </w:r>
    </w:p>
    <w:p w:rsidR="00D0360A" w:rsidRDefault="00D0360A" w:rsidP="00FA418C">
      <w:pPr>
        <w:ind w:right="1440"/>
      </w:pPr>
    </w:p>
    <w:p w:rsidR="00644706" w:rsidRDefault="00644706" w:rsidP="00FA418C">
      <w:pPr>
        <w:ind w:right="1440"/>
      </w:pPr>
      <w:r>
        <w:t>Laura Wheeler</w:t>
      </w:r>
    </w:p>
    <w:p w:rsidR="00644706" w:rsidRDefault="00D0360A" w:rsidP="00FA418C">
      <w:pPr>
        <w:ind w:right="1440"/>
      </w:pPr>
      <w:r>
        <w:t>Fiscal Research Center</w:t>
      </w:r>
    </w:p>
    <w:p w:rsidR="00D0360A" w:rsidRDefault="00D0360A" w:rsidP="00FA418C">
      <w:pPr>
        <w:ind w:right="1440"/>
      </w:pPr>
      <w:r>
        <w:t>Andrew Young School of Policy Studies</w:t>
      </w:r>
      <w:r w:rsidRPr="00D0360A">
        <w:t xml:space="preserve"> </w:t>
      </w:r>
    </w:p>
    <w:p w:rsidR="00D0360A" w:rsidRDefault="00D0360A" w:rsidP="00FA418C">
      <w:pPr>
        <w:ind w:right="1440"/>
      </w:pPr>
      <w:r>
        <w:t>Georgia State University</w:t>
      </w:r>
    </w:p>
    <w:p w:rsidR="00D0360A" w:rsidRDefault="00D0360A" w:rsidP="00FA418C">
      <w:pPr>
        <w:ind w:right="1440"/>
      </w:pPr>
      <w:r>
        <w:t>Atlanta, Georgia</w:t>
      </w:r>
      <w:r w:rsidR="00CC6859">
        <w:t xml:space="preserve"> 30303</w:t>
      </w:r>
    </w:p>
    <w:p w:rsidR="00644706" w:rsidRDefault="006A6632" w:rsidP="00FA418C">
      <w:pPr>
        <w:ind w:right="1440"/>
      </w:pPr>
      <w:r>
        <w:t>L</w:t>
      </w:r>
      <w:r w:rsidR="00D0360A">
        <w:t>wheeler</w:t>
      </w:r>
      <w:r>
        <w:t>2</w:t>
      </w:r>
      <w:r w:rsidR="00D0360A">
        <w:t>@gsu.edu</w:t>
      </w:r>
    </w:p>
    <w:p w:rsidR="00644706" w:rsidRDefault="00644706" w:rsidP="00FA418C">
      <w:pPr>
        <w:ind w:right="1440"/>
        <w:jc w:val="center"/>
      </w:pPr>
    </w:p>
    <w:p w:rsidR="00582FE1" w:rsidRDefault="00582FE1" w:rsidP="00FA418C">
      <w:pPr>
        <w:ind w:right="1440"/>
        <w:rPr>
          <w:b/>
        </w:rPr>
      </w:pPr>
    </w:p>
    <w:p w:rsidR="00582FE1" w:rsidRDefault="00582FE1" w:rsidP="00FA418C">
      <w:pPr>
        <w:ind w:right="1440"/>
        <w:rPr>
          <w:b/>
        </w:rPr>
      </w:pPr>
      <w:r>
        <w:rPr>
          <w:b/>
        </w:rPr>
        <w:t xml:space="preserve">JEL No: H7, L84, R11 </w:t>
      </w:r>
    </w:p>
    <w:p w:rsidR="00644706" w:rsidRDefault="00644706" w:rsidP="00FA418C">
      <w:pPr>
        <w:ind w:right="1440"/>
        <w:jc w:val="center"/>
        <w:rPr>
          <w:b/>
        </w:rPr>
      </w:pPr>
    </w:p>
    <w:p w:rsidR="00582FE1" w:rsidRDefault="00582FE1" w:rsidP="00FA418C">
      <w:pPr>
        <w:ind w:right="1440"/>
        <w:jc w:val="center"/>
      </w:pPr>
    </w:p>
    <w:p w:rsidR="009301E0" w:rsidRDefault="001828F8" w:rsidP="00FA418C">
      <w:pPr>
        <w:ind w:right="1440"/>
        <w:jc w:val="center"/>
      </w:pPr>
      <w:r>
        <w:t>March</w:t>
      </w:r>
      <w:r w:rsidR="009202A4">
        <w:t xml:space="preserve"> 201</w:t>
      </w:r>
      <w:r w:rsidR="00B81D90">
        <w:t>3</w:t>
      </w:r>
    </w:p>
    <w:p w:rsidR="00D0360A" w:rsidRDefault="00D0360A" w:rsidP="00FA418C">
      <w:pPr>
        <w:ind w:right="1440"/>
        <w:jc w:val="center"/>
      </w:pPr>
    </w:p>
    <w:p w:rsidR="009301E0" w:rsidRDefault="009301E0" w:rsidP="00FA418C">
      <w:pPr>
        <w:ind w:right="1440"/>
        <w:jc w:val="center"/>
      </w:pPr>
    </w:p>
    <w:p w:rsidR="00D0360A" w:rsidRDefault="00D0360A" w:rsidP="00FA418C">
      <w:pPr>
        <w:ind w:right="1440"/>
        <w:jc w:val="center"/>
      </w:pPr>
    </w:p>
    <w:p w:rsidR="00D0360A" w:rsidRDefault="00D0360A" w:rsidP="002D3324">
      <w:pPr>
        <w:tabs>
          <w:tab w:val="left" w:pos="8640"/>
        </w:tabs>
      </w:pPr>
      <w:r>
        <w:t>*The authors wi</w:t>
      </w:r>
      <w:r w:rsidR="001C4E02">
        <w:t>s</w:t>
      </w:r>
      <w:r>
        <w:t>h to thank Abdullah Khan for his research assistance</w:t>
      </w:r>
      <w:r w:rsidR="000061C9">
        <w:t>,</w:t>
      </w:r>
      <w:r w:rsidR="009B146B">
        <w:t xml:space="preserve"> </w:t>
      </w:r>
      <w:r>
        <w:t>Lakshmi Pandey for his technical contribution to this research</w:t>
      </w:r>
      <w:r w:rsidR="000061C9">
        <w:t>, and James Alm</w:t>
      </w:r>
      <w:r w:rsidR="004C13C3">
        <w:t>, Mary Beth Walker, Kurt Schnier,</w:t>
      </w:r>
      <w:r w:rsidR="000061C9">
        <w:t xml:space="preserve"> </w:t>
      </w:r>
      <w:r w:rsidR="004C7F10">
        <w:t xml:space="preserve">Rachana Bhatt, </w:t>
      </w:r>
      <w:r w:rsidR="00060ECE">
        <w:t>and Andrew H</w:t>
      </w:r>
      <w:r w:rsidR="00075E11">
        <w:t>a</w:t>
      </w:r>
      <w:r w:rsidR="00060ECE">
        <w:t xml:space="preserve">nson </w:t>
      </w:r>
      <w:r w:rsidR="000061C9">
        <w:t xml:space="preserve">for </w:t>
      </w:r>
      <w:r w:rsidR="00060ECE">
        <w:t>their</w:t>
      </w:r>
      <w:r w:rsidR="000061C9">
        <w:t xml:space="preserve"> helpful comments</w:t>
      </w:r>
      <w:r>
        <w:t>.</w:t>
      </w:r>
    </w:p>
    <w:p w:rsidR="005F4C66" w:rsidRDefault="005F4C66" w:rsidP="00FA418C">
      <w:pPr>
        <w:ind w:right="1440"/>
        <w:rPr>
          <w:b/>
        </w:rPr>
      </w:pPr>
    </w:p>
    <w:p w:rsidR="00E36356" w:rsidRDefault="00E36356" w:rsidP="00FA418C">
      <w:pPr>
        <w:ind w:right="1440"/>
        <w:rPr>
          <w:b/>
        </w:rPr>
        <w:sectPr w:rsidR="00E36356" w:rsidSect="009E114A">
          <w:footerReference w:type="even" r:id="rId9"/>
          <w:footerReference w:type="default" r:id="rId10"/>
          <w:pgSz w:w="12240" w:h="15840"/>
          <w:pgMar w:top="1440" w:right="1800" w:bottom="1440" w:left="1800" w:header="720" w:footer="720" w:gutter="0"/>
          <w:pgNumType w:start="0"/>
          <w:cols w:space="720"/>
          <w:titlePg/>
          <w:docGrid w:linePitch="360"/>
        </w:sectPr>
      </w:pPr>
    </w:p>
    <w:p w:rsidR="005F4C66" w:rsidRDefault="005F4C66" w:rsidP="00FA418C">
      <w:pPr>
        <w:ind w:right="1440"/>
        <w:rPr>
          <w:b/>
        </w:rPr>
      </w:pPr>
    </w:p>
    <w:p w:rsidR="005F4C66" w:rsidRDefault="005F4C66" w:rsidP="00FA418C">
      <w:pPr>
        <w:ind w:right="1440"/>
        <w:rPr>
          <w:b/>
        </w:rPr>
      </w:pPr>
    </w:p>
    <w:p w:rsidR="001D6D42" w:rsidRDefault="005F4C66" w:rsidP="0040446D">
      <w:pPr>
        <w:ind w:right="1440"/>
        <w:rPr>
          <w:b/>
        </w:rPr>
      </w:pPr>
      <w:r w:rsidRPr="00653520">
        <w:rPr>
          <w:b/>
        </w:rPr>
        <w:t>Abstract</w:t>
      </w:r>
    </w:p>
    <w:p w:rsidR="005F4C66" w:rsidRDefault="005F4C66" w:rsidP="00FA418C">
      <w:pPr>
        <w:ind w:right="1440"/>
        <w:jc w:val="center"/>
      </w:pPr>
    </w:p>
    <w:p w:rsidR="005F4C66" w:rsidRDefault="005F4C66" w:rsidP="00FA418C">
      <w:pPr>
        <w:spacing w:line="360" w:lineRule="auto"/>
        <w:ind w:right="1440"/>
      </w:pPr>
      <w:r>
        <w:t xml:space="preserve">States levy insurance premium taxes, which are essentially gross receipt taxes on premiums, with insurance companies paying the higher of the tax rate in the state in which the company is domiciled and the state in which the policy is written.  Using a state-level panel data set from 1996-2010 for the property-casualty insurance industry, we explore the effect of insurance premium tax rates on interstate differences </w:t>
      </w:r>
      <w:r w:rsidR="004C13C3">
        <w:t xml:space="preserve">in </w:t>
      </w:r>
      <w:r>
        <w:t>property-casualty insurance industry</w:t>
      </w:r>
      <w:r w:rsidRPr="005F4C66">
        <w:t xml:space="preserve"> </w:t>
      </w:r>
      <w:r>
        <w:t xml:space="preserve">employment and other measures of </w:t>
      </w:r>
      <w:r w:rsidR="00FF28DE">
        <w:t xml:space="preserve">industry </w:t>
      </w:r>
      <w:r>
        <w:t xml:space="preserve">size.  </w:t>
      </w:r>
      <w:r w:rsidR="009202A4">
        <w:t xml:space="preserve">While the estimated </w:t>
      </w:r>
      <w:proofErr w:type="spellStart"/>
      <w:r w:rsidR="009202A4">
        <w:t>elasticities</w:t>
      </w:r>
      <w:proofErr w:type="spellEnd"/>
      <w:r w:rsidR="009202A4">
        <w:t xml:space="preserve"> of industry size with respect to the tax rate differ across models, we </w:t>
      </w:r>
      <w:r>
        <w:t>find that the insurance premium tax has a</w:t>
      </w:r>
      <w:r w:rsidR="008063C6">
        <w:t xml:space="preserve"> large, negative and</w:t>
      </w:r>
      <w:r>
        <w:t xml:space="preserve"> </w:t>
      </w:r>
      <w:r w:rsidR="00EA16BD">
        <w:t xml:space="preserve">economically </w:t>
      </w:r>
      <w:r w:rsidR="008063C6">
        <w:t>significant</w:t>
      </w:r>
      <w:r>
        <w:t xml:space="preserve"> effect on the size of the insurance industry in a state.  </w:t>
      </w:r>
    </w:p>
    <w:p w:rsidR="0022158C" w:rsidRDefault="009301E0" w:rsidP="00FA418C">
      <w:pPr>
        <w:ind w:right="1440"/>
        <w:rPr>
          <w:b/>
        </w:rPr>
      </w:pPr>
      <w:r>
        <w:rPr>
          <w:b/>
          <w:sz w:val="30"/>
          <w:szCs w:val="30"/>
        </w:rPr>
        <w:br w:type="page"/>
      </w:r>
      <w:r w:rsidR="0022158C" w:rsidRPr="00094B92">
        <w:rPr>
          <w:b/>
        </w:rPr>
        <w:lastRenderedPageBreak/>
        <w:t xml:space="preserve">1. </w:t>
      </w:r>
      <w:r w:rsidR="0022158C">
        <w:rPr>
          <w:b/>
        </w:rPr>
        <w:t>Introduction</w:t>
      </w:r>
    </w:p>
    <w:p w:rsidR="00E30E9B" w:rsidRPr="00094B92" w:rsidRDefault="00E30E9B" w:rsidP="00FA418C">
      <w:pPr>
        <w:ind w:right="1440"/>
        <w:rPr>
          <w:b/>
        </w:rPr>
      </w:pPr>
    </w:p>
    <w:p w:rsidR="00067AF8" w:rsidRDefault="00060ECE" w:rsidP="00FA418C">
      <w:pPr>
        <w:spacing w:line="480" w:lineRule="auto"/>
        <w:ind w:right="1440" w:firstLine="720"/>
      </w:pPr>
      <w:r>
        <w:t>State taxation of insurance companies differs from state taxation of other corporations</w:t>
      </w:r>
      <w:r w:rsidR="00075E11">
        <w:t xml:space="preserve"> in that s</w:t>
      </w:r>
      <w:r>
        <w:t>tates levy premium taxes, which are essentially gross receipt taxes on premiums</w:t>
      </w:r>
      <w:r w:rsidR="00075E11">
        <w:t xml:space="preserve"> written by insurance firms</w:t>
      </w:r>
      <w:r>
        <w:t xml:space="preserve">.  </w:t>
      </w:r>
      <w:r w:rsidR="00EA16BD">
        <w:t xml:space="preserve">However, </w:t>
      </w:r>
      <w:r>
        <w:t xml:space="preserve">there is a unique feature of </w:t>
      </w:r>
      <w:r w:rsidR="000E16EC">
        <w:t>premium</w:t>
      </w:r>
      <w:r>
        <w:t xml:space="preserve"> taxes, namely </w:t>
      </w:r>
      <w:r w:rsidR="00C978AD">
        <w:t xml:space="preserve">that </w:t>
      </w:r>
      <w:r>
        <w:t xml:space="preserve">insurance companies pay the higher of the tax rate in the state in which the company is domiciled and the state in which the policy is written.  </w:t>
      </w:r>
      <w:r w:rsidR="00582606">
        <w:t>Furthermore, there are substantial differences across states in the tax rates impose</w:t>
      </w:r>
      <w:r w:rsidR="00075E11">
        <w:t>d</w:t>
      </w:r>
      <w:r w:rsidR="00582606">
        <w:t xml:space="preserve"> on insurance firms.  </w:t>
      </w:r>
      <w:r>
        <w:t>Th</w:t>
      </w:r>
      <w:r w:rsidR="00582606">
        <w:t xml:space="preserve">ese features of </w:t>
      </w:r>
      <w:r w:rsidR="000E16EC">
        <w:t>premium</w:t>
      </w:r>
      <w:r w:rsidR="00582606">
        <w:t xml:space="preserve"> taxes </w:t>
      </w:r>
      <w:r>
        <w:t xml:space="preserve">provide a strong incentive for </w:t>
      </w:r>
      <w:r w:rsidR="00075E11">
        <w:t xml:space="preserve">an </w:t>
      </w:r>
      <w:r>
        <w:t>insurance firm to locate in the state with the lowest premium tax rate</w:t>
      </w:r>
      <w:r w:rsidR="00075E11">
        <w:t xml:space="preserve"> among the states in which it writes premiums</w:t>
      </w:r>
      <w:r>
        <w:t>.  But, while t</w:t>
      </w:r>
      <w:r w:rsidR="008A5F30">
        <w:t xml:space="preserve">he </w:t>
      </w:r>
      <w:r w:rsidR="008A5F30" w:rsidRPr="00850FD3">
        <w:t>literature on the effect of taxation on employment and business location is quite large</w:t>
      </w:r>
      <w:r w:rsidR="00387A2E">
        <w:t xml:space="preserve"> (</w:t>
      </w:r>
      <w:proofErr w:type="spellStart"/>
      <w:r w:rsidR="00387A2E">
        <w:t>Wasylenko</w:t>
      </w:r>
      <w:proofErr w:type="spellEnd"/>
      <w:r w:rsidR="00387A2E">
        <w:t xml:space="preserve"> 1997)</w:t>
      </w:r>
      <w:r w:rsidR="00387A2E" w:rsidDel="008B2E00">
        <w:t xml:space="preserve"> </w:t>
      </w:r>
      <w:r w:rsidR="008A5F30">
        <w:t xml:space="preserve">there is little research that addresses the location of the insurance industry across states.  </w:t>
      </w:r>
      <w:r w:rsidR="00875422">
        <w:t xml:space="preserve">This paper </w:t>
      </w:r>
      <w:r w:rsidR="00380887">
        <w:t xml:space="preserve">presents estimates of </w:t>
      </w:r>
      <w:r w:rsidR="00875422">
        <w:t xml:space="preserve">the effect of state </w:t>
      </w:r>
      <w:r w:rsidR="009202A4">
        <w:t xml:space="preserve">insurance premium </w:t>
      </w:r>
      <w:r w:rsidR="00875422">
        <w:t xml:space="preserve">taxation on </w:t>
      </w:r>
      <w:r w:rsidR="00441E8B">
        <w:t>interstate differences in the size</w:t>
      </w:r>
      <w:r w:rsidR="00875422">
        <w:t xml:space="preserve"> of the property-casualty insurance industry.  </w:t>
      </w:r>
    </w:p>
    <w:p w:rsidR="00812A5B" w:rsidRDefault="008063C6" w:rsidP="00FA418C">
      <w:pPr>
        <w:spacing w:line="480" w:lineRule="auto"/>
        <w:ind w:right="1440" w:firstLine="720"/>
      </w:pPr>
      <w:r>
        <w:t>Although</w:t>
      </w:r>
      <w:r w:rsidR="00F426DB">
        <w:t xml:space="preserve"> </w:t>
      </w:r>
      <w:r w:rsidR="00723FE8">
        <w:t xml:space="preserve">recent research generally finds a negative relationship between state </w:t>
      </w:r>
      <w:r w:rsidR="00F426DB">
        <w:t>tax</w:t>
      </w:r>
      <w:r w:rsidR="00723FE8">
        <w:t>es and</w:t>
      </w:r>
      <w:r w:rsidR="00F426DB">
        <w:t xml:space="preserve"> employment, there is no existing evidence of the effect of taxes on the size of a state’s insurance industry.  Yet state tax policy should be informed </w:t>
      </w:r>
      <w:r w:rsidR="00BB2392">
        <w:t xml:space="preserve">in part </w:t>
      </w:r>
      <w:r w:rsidR="00F426DB">
        <w:t xml:space="preserve">by how responsive the industry </w:t>
      </w:r>
      <w:r w:rsidR="007A2E66">
        <w:t xml:space="preserve">is to changes in </w:t>
      </w:r>
      <w:r w:rsidR="00723FE8">
        <w:t xml:space="preserve">the </w:t>
      </w:r>
      <w:r w:rsidR="007A2E66">
        <w:t xml:space="preserve">insurance premium tax rate.  </w:t>
      </w:r>
      <w:r w:rsidR="00BB2392">
        <w:t>The insurance industry is seen as a desirable target for economic development since it is a clean industry with</w:t>
      </w:r>
      <w:r w:rsidR="00BB2392" w:rsidRPr="00723FE8">
        <w:t xml:space="preserve"> </w:t>
      </w:r>
      <w:r w:rsidR="00BB2392">
        <w:t xml:space="preserve">salaries well above average and because employment in the insurance industry is significant, comprising two percent of private nonfarm employment. </w:t>
      </w:r>
      <w:r w:rsidR="005B127C">
        <w:t xml:space="preserve">For </w:t>
      </w:r>
      <w:r>
        <w:t xml:space="preserve">crafting </w:t>
      </w:r>
      <w:r w:rsidR="005B127C">
        <w:t>economic development policy</w:t>
      </w:r>
      <w:r>
        <w:t>,</w:t>
      </w:r>
      <w:r w:rsidR="005B127C">
        <w:t xml:space="preserve"> a state needs </w:t>
      </w:r>
      <w:r w:rsidR="00B13C89">
        <w:t>to understand</w:t>
      </w:r>
      <w:r w:rsidR="007A2E66">
        <w:t xml:space="preserve"> the factors</w:t>
      </w:r>
      <w:r w:rsidR="005B127C">
        <w:t>, particularly those under the control of the state such as the insurance premium tax,</w:t>
      </w:r>
      <w:r w:rsidR="007A2E66">
        <w:t xml:space="preserve"> that affect the location of insurance companies.  </w:t>
      </w:r>
      <w:r w:rsidR="005B127C">
        <w:t xml:space="preserve">Knowing the likely effect that </w:t>
      </w:r>
      <w:r w:rsidR="00B13C89">
        <w:t>a tax rate change</w:t>
      </w:r>
      <w:r w:rsidR="005B127C">
        <w:t xml:space="preserve"> would have </w:t>
      </w:r>
      <w:r w:rsidR="00431086">
        <w:t xml:space="preserve">on </w:t>
      </w:r>
      <w:r w:rsidR="005B127C">
        <w:t xml:space="preserve">the size of the state’s insurance industry would be important in deciding whether to adopt such a policy.  </w:t>
      </w:r>
    </w:p>
    <w:p w:rsidR="00075E11" w:rsidRDefault="0003381C" w:rsidP="00FA418C">
      <w:pPr>
        <w:spacing w:line="480" w:lineRule="auto"/>
        <w:ind w:right="1440" w:firstLine="720"/>
      </w:pPr>
      <w:r>
        <w:lastRenderedPageBreak/>
        <w:t>T</w:t>
      </w:r>
      <w:r w:rsidR="006D5AB4">
        <w:t>h</w:t>
      </w:r>
      <w:r w:rsidR="00C26C02">
        <w:t xml:space="preserve">is paper </w:t>
      </w:r>
      <w:r w:rsidR="00380887">
        <w:t>contributes</w:t>
      </w:r>
      <w:r w:rsidR="000061C9">
        <w:t xml:space="preserve"> to th</w:t>
      </w:r>
      <w:r w:rsidR="0078616C">
        <w:t>e</w:t>
      </w:r>
      <w:r w:rsidR="000061C9">
        <w:t xml:space="preserve"> literature on the effect of taxes on </w:t>
      </w:r>
      <w:r w:rsidR="004C13C3">
        <w:t>industry size</w:t>
      </w:r>
      <w:r w:rsidR="00380887">
        <w:t xml:space="preserve"> in several</w:t>
      </w:r>
      <w:r w:rsidR="009241EE">
        <w:t xml:space="preserve"> ways</w:t>
      </w:r>
      <w:r w:rsidR="006D5AB4">
        <w:t xml:space="preserve">. First, we consider an industry that has not been the subject of </w:t>
      </w:r>
      <w:r w:rsidR="00907C1F">
        <w:t xml:space="preserve">much </w:t>
      </w:r>
      <w:r w:rsidR="006D5AB4">
        <w:t xml:space="preserve">previous </w:t>
      </w:r>
      <w:r w:rsidR="00907C1F">
        <w:t>research on location</w:t>
      </w:r>
      <w:r w:rsidR="00BB2392">
        <w:t xml:space="preserve"> decisions</w:t>
      </w:r>
      <w:r w:rsidR="006D5AB4">
        <w:t>.</w:t>
      </w:r>
      <w:r w:rsidR="00075E11">
        <w:t xml:space="preserve"> </w:t>
      </w:r>
      <w:r w:rsidR="003B15ED">
        <w:t xml:space="preserve"> </w:t>
      </w:r>
      <w:r w:rsidR="00075E11">
        <w:t>In addition</w:t>
      </w:r>
      <w:r w:rsidR="005F1CE0">
        <w:t>,</w:t>
      </w:r>
      <w:r w:rsidR="00075E11">
        <w:t xml:space="preserve"> we address several methodological and data problems that have been identified as weaknesses in other studies of the effect of taxation on the location of industries generally, including studies of employment (</w:t>
      </w:r>
      <w:proofErr w:type="spellStart"/>
      <w:r w:rsidR="00075E11">
        <w:t>Bartik</w:t>
      </w:r>
      <w:proofErr w:type="spellEnd"/>
      <w:r w:rsidR="00075E11">
        <w:t xml:space="preserve"> 1991).    </w:t>
      </w:r>
    </w:p>
    <w:p w:rsidR="00E33105" w:rsidRDefault="003B15ED" w:rsidP="00FA418C">
      <w:pPr>
        <w:spacing w:line="480" w:lineRule="auto"/>
        <w:ind w:right="1440" w:firstLine="720"/>
      </w:pPr>
      <w:r>
        <w:t>First, o</w:t>
      </w:r>
      <w:r w:rsidR="00E33105">
        <w:t>ne of the difficulties with many of the</w:t>
      </w:r>
      <w:r w:rsidR="0022158C">
        <w:t xml:space="preserve"> </w:t>
      </w:r>
      <w:r w:rsidR="00D0360A">
        <w:t xml:space="preserve">existing </w:t>
      </w:r>
      <w:r w:rsidR="0022158C">
        <w:t>studies is that they</w:t>
      </w:r>
      <w:r w:rsidR="009B7314">
        <w:t xml:space="preserve"> typically</w:t>
      </w:r>
      <w:r w:rsidR="0022158C">
        <w:t xml:space="preserve"> focus on the relationship between the corporate</w:t>
      </w:r>
      <w:r w:rsidR="009B7314">
        <w:t xml:space="preserve"> </w:t>
      </w:r>
      <w:r w:rsidR="00CC6859">
        <w:t xml:space="preserve">income </w:t>
      </w:r>
      <w:r w:rsidR="009B7314">
        <w:t>tax</w:t>
      </w:r>
      <w:r w:rsidR="0022158C">
        <w:t xml:space="preserve"> or </w:t>
      </w:r>
      <w:r w:rsidR="009B7314">
        <w:t xml:space="preserve">the </w:t>
      </w:r>
      <w:r w:rsidR="0022158C">
        <w:t>individual income tax and employment in a state across all industries</w:t>
      </w:r>
      <w:r w:rsidR="000061C9">
        <w:t xml:space="preserve"> or all manufacturing sectors</w:t>
      </w:r>
      <w:r w:rsidR="0022158C">
        <w:t>.  This is problematic for several reasons</w:t>
      </w:r>
      <w:r w:rsidR="00E33105">
        <w:t>, but in particular</w:t>
      </w:r>
      <w:r w:rsidR="007D7D17">
        <w:t>,</w:t>
      </w:r>
      <w:r w:rsidR="0022158C" w:rsidRPr="00E33105">
        <w:t xml:space="preserve"> </w:t>
      </w:r>
      <w:r w:rsidR="00CC0904">
        <w:t xml:space="preserve">as pointed out by </w:t>
      </w:r>
      <w:proofErr w:type="spellStart"/>
      <w:r w:rsidR="00CC0904">
        <w:t>Papke</w:t>
      </w:r>
      <w:proofErr w:type="spellEnd"/>
      <w:r w:rsidR="00CC0904">
        <w:t xml:space="preserve"> (1987), </w:t>
      </w:r>
      <w:r w:rsidR="00E21EF9">
        <w:t xml:space="preserve">since </w:t>
      </w:r>
      <w:r w:rsidR="0022158C" w:rsidRPr="00E33105">
        <w:t xml:space="preserve">not all industries are structured </w:t>
      </w:r>
      <w:r w:rsidR="00E21EF9">
        <w:t>similarly</w:t>
      </w:r>
      <w:r w:rsidR="0022158C" w:rsidRPr="00E33105">
        <w:t>, the</w:t>
      </w:r>
      <w:r w:rsidR="00CC0904">
        <w:t xml:space="preserve"> </w:t>
      </w:r>
      <w:r w:rsidR="0022158C" w:rsidRPr="00E33105">
        <w:t>react</w:t>
      </w:r>
      <w:r w:rsidR="00CC0904">
        <w:t xml:space="preserve">ion to </w:t>
      </w:r>
      <w:r w:rsidR="00E44142">
        <w:t>variations</w:t>
      </w:r>
      <w:r w:rsidR="00CC0904">
        <w:t xml:space="preserve"> in these general tax measures may differ</w:t>
      </w:r>
      <w:r>
        <w:t xml:space="preserve"> by industry</w:t>
      </w:r>
      <w:r w:rsidR="00CC0904">
        <w:t xml:space="preserve">. </w:t>
      </w:r>
      <w:r w:rsidR="0022158C" w:rsidRPr="00E33105">
        <w:t xml:space="preserve"> </w:t>
      </w:r>
      <w:r w:rsidR="0039408F">
        <w:t xml:space="preserve">Unless </w:t>
      </w:r>
      <w:r w:rsidR="001C4E02">
        <w:t xml:space="preserve">the industrial composition is </w:t>
      </w:r>
      <w:r w:rsidR="0039408F">
        <w:t>controlled for, which is generally not done</w:t>
      </w:r>
      <w:r w:rsidR="001C4E02">
        <w:t>,</w:t>
      </w:r>
      <w:r w:rsidR="0039408F">
        <w:t xml:space="preserve"> the result</w:t>
      </w:r>
      <w:r w:rsidR="007A4A25">
        <w:t>s</w:t>
      </w:r>
      <w:r w:rsidR="0039408F">
        <w:t xml:space="preserve"> </w:t>
      </w:r>
      <w:r w:rsidR="007A4A25">
        <w:t>are</w:t>
      </w:r>
      <w:r w:rsidR="007A4A25" w:rsidRPr="00E33105">
        <w:t xml:space="preserve"> </w:t>
      </w:r>
      <w:r w:rsidR="0022158C" w:rsidRPr="00E33105">
        <w:t xml:space="preserve">weak and </w:t>
      </w:r>
      <w:r w:rsidR="001C4E02">
        <w:t xml:space="preserve">exhibit </w:t>
      </w:r>
      <w:r w:rsidR="0022158C" w:rsidRPr="00E33105">
        <w:t xml:space="preserve">contradictory analytic </w:t>
      </w:r>
      <w:r w:rsidR="0039408F">
        <w:t>findings</w:t>
      </w:r>
      <w:r w:rsidR="0022158C" w:rsidRPr="00E33105">
        <w:t>.</w:t>
      </w:r>
      <w:r w:rsidR="001C4E02">
        <w:rPr>
          <w:rStyle w:val="FootnoteReference"/>
        </w:rPr>
        <w:footnoteReference w:id="1"/>
      </w:r>
      <w:r w:rsidR="0022158C" w:rsidRPr="00E33105">
        <w:rPr>
          <w:b/>
        </w:rPr>
        <w:t xml:space="preserve"> </w:t>
      </w:r>
      <w:r w:rsidR="0022158C">
        <w:t xml:space="preserve"> </w:t>
      </w:r>
      <w:r w:rsidR="00362D19">
        <w:t xml:space="preserve">Focusing on </w:t>
      </w:r>
      <w:r>
        <w:t>a single homogenous</w:t>
      </w:r>
      <w:r w:rsidR="00362D19">
        <w:t xml:space="preserve"> industry ameliorates </w:t>
      </w:r>
      <w:r w:rsidR="0039408F">
        <w:t>this</w:t>
      </w:r>
      <w:r w:rsidR="00362D19">
        <w:t xml:space="preserve"> issue.</w:t>
      </w:r>
    </w:p>
    <w:p w:rsidR="00362D19" w:rsidRDefault="007E50F3" w:rsidP="00FA418C">
      <w:pPr>
        <w:spacing w:line="480" w:lineRule="auto"/>
        <w:ind w:right="1440"/>
      </w:pPr>
      <w:r>
        <w:tab/>
      </w:r>
      <w:r w:rsidR="006A6632">
        <w:t>Second</w:t>
      </w:r>
      <w:r w:rsidR="00E21EF9">
        <w:t xml:space="preserve">, both </w:t>
      </w:r>
      <w:r w:rsidR="0022158C">
        <w:t>individual and corporate income tax</w:t>
      </w:r>
      <w:r w:rsidR="00E33105">
        <w:t>es</w:t>
      </w:r>
      <w:r w:rsidR="0022158C">
        <w:t xml:space="preserve"> are complex and vary greatly in their application across states.  </w:t>
      </w:r>
      <w:r w:rsidR="00E44142">
        <w:t>M</w:t>
      </w:r>
      <w:r w:rsidR="0022158C">
        <w:t xml:space="preserve">odeling these taxes correctly and </w:t>
      </w:r>
      <w:r w:rsidR="00C26C02">
        <w:t xml:space="preserve">properly </w:t>
      </w:r>
      <w:r w:rsidR="0022158C">
        <w:t xml:space="preserve">accounting for </w:t>
      </w:r>
      <w:r w:rsidR="00705CE5">
        <w:t>factors such as</w:t>
      </w:r>
      <w:r w:rsidR="0022158C">
        <w:t xml:space="preserve"> apportionment of corporate income is challenging and requires more data than is </w:t>
      </w:r>
      <w:r w:rsidR="00E21EF9">
        <w:t xml:space="preserve">generally </w:t>
      </w:r>
      <w:r w:rsidR="0022158C">
        <w:t>available</w:t>
      </w:r>
      <w:r w:rsidR="00ED30C2">
        <w:t>.</w:t>
      </w:r>
      <w:r w:rsidR="0022158C">
        <w:t xml:space="preserve">  </w:t>
      </w:r>
      <w:r w:rsidR="00E44142">
        <w:t>Because the tax applicable to insurance companies is a gross receipts tax and is not subject to apportionment, many of the complexities associated with modeling the corporate income tax are avoided.  Furthermore, our data allow us to construct effective</w:t>
      </w:r>
      <w:r w:rsidR="00380887">
        <w:t xml:space="preserve"> insurance premium</w:t>
      </w:r>
      <w:r w:rsidR="00E44142">
        <w:t xml:space="preserve"> tax rates </w:t>
      </w:r>
      <w:r w:rsidR="00380887">
        <w:t>that</w:t>
      </w:r>
      <w:r w:rsidR="00E44142">
        <w:t xml:space="preserve"> take into account the various provisions of the tax on insurance companies.  </w:t>
      </w:r>
      <w:r w:rsidR="001F65E8">
        <w:t>F</w:t>
      </w:r>
      <w:r w:rsidR="00B65495">
        <w:t xml:space="preserve">ew studies </w:t>
      </w:r>
      <w:r w:rsidR="00E44142">
        <w:t xml:space="preserve">had the available data to construct </w:t>
      </w:r>
      <w:r w:rsidR="00B65495">
        <w:t xml:space="preserve">effective tax rates. </w:t>
      </w:r>
      <w:r w:rsidR="00B65495" w:rsidRPr="00850FD3">
        <w:t xml:space="preserve">  </w:t>
      </w:r>
    </w:p>
    <w:p w:rsidR="00CC4DBF" w:rsidRDefault="00380887" w:rsidP="00FA418C">
      <w:pPr>
        <w:spacing w:line="480" w:lineRule="auto"/>
        <w:ind w:right="1440" w:firstLine="720"/>
      </w:pPr>
      <w:r>
        <w:t>Third</w:t>
      </w:r>
      <w:r w:rsidR="00E33105">
        <w:t xml:space="preserve">, </w:t>
      </w:r>
      <w:r w:rsidR="00C65921">
        <w:t>we can control for</w:t>
      </w:r>
      <w:r>
        <w:t xml:space="preserve"> possible</w:t>
      </w:r>
      <w:r w:rsidR="00C65921">
        <w:t xml:space="preserve"> tax rate </w:t>
      </w:r>
      <w:proofErr w:type="spellStart"/>
      <w:r w:rsidR="00C65921">
        <w:t>endogeneity</w:t>
      </w:r>
      <w:proofErr w:type="spellEnd"/>
      <w:r w:rsidR="00582606">
        <w:t xml:space="preserve">, that is, </w:t>
      </w:r>
      <w:r w:rsidR="00075E11">
        <w:t xml:space="preserve">for the possibility that </w:t>
      </w:r>
      <w:r w:rsidR="00582606">
        <w:t xml:space="preserve">the size of the insurance industry in a state could affect the tax rate.  </w:t>
      </w:r>
      <w:r w:rsidR="007A4A25">
        <w:t xml:space="preserve">The combination of these </w:t>
      </w:r>
      <w:r w:rsidR="007A4A25">
        <w:lastRenderedPageBreak/>
        <w:t>improvements to the rigor of the research results in increased clarity and confidence in the findings</w:t>
      </w:r>
      <w:r w:rsidR="00ED30C2">
        <w:t xml:space="preserve"> compared to previous work on this subject</w:t>
      </w:r>
      <w:r w:rsidR="007A4A25">
        <w:t>.</w:t>
      </w:r>
    </w:p>
    <w:p w:rsidR="00C36CEA" w:rsidRPr="00E179A5" w:rsidRDefault="00C36CEA" w:rsidP="00FA418C">
      <w:pPr>
        <w:spacing w:line="480" w:lineRule="auto"/>
        <w:ind w:right="1440" w:firstLine="720"/>
      </w:pPr>
      <w:r>
        <w:t xml:space="preserve">There has been little written on the economic effects of taxes as they relate specifically to the insurance industry.  </w:t>
      </w:r>
      <w:r w:rsidR="00C27CD7">
        <w:t>McNamara et</w:t>
      </w:r>
      <w:r w:rsidR="00907C1F">
        <w:t xml:space="preserve"> </w:t>
      </w:r>
      <w:r w:rsidR="00C27CD7">
        <w:t xml:space="preserve">al. (2006) consider </w:t>
      </w:r>
      <w:r w:rsidR="00B51A37">
        <w:t>the effect of a firm’s relocation on the</w:t>
      </w:r>
      <w:r w:rsidR="00B13C89">
        <w:t xml:space="preserve"> </w:t>
      </w:r>
      <w:r w:rsidR="008B2E00">
        <w:t>firm’s</w:t>
      </w:r>
      <w:r w:rsidR="00C27CD7">
        <w:t xml:space="preserve"> premium </w:t>
      </w:r>
      <w:r w:rsidR="00B51A37">
        <w:t>taxes.</w:t>
      </w:r>
      <w:r w:rsidR="00C27CD7">
        <w:t xml:space="preserve">  </w:t>
      </w:r>
      <w:r>
        <w:t>Wheaton (1986) considers the impact of state taxes on the asset growth rates</w:t>
      </w:r>
      <w:r w:rsidRPr="00E568FE">
        <w:t xml:space="preserve"> </w:t>
      </w:r>
      <w:r w:rsidR="008B2E00">
        <w:t xml:space="preserve">over the 1966-1981 </w:t>
      </w:r>
      <w:proofErr w:type="gramStart"/>
      <w:r w:rsidR="008B2E00">
        <w:t>period</w:t>
      </w:r>
      <w:proofErr w:type="gramEnd"/>
      <w:r w:rsidR="008B2E00">
        <w:t xml:space="preserve"> </w:t>
      </w:r>
      <w:r>
        <w:t xml:space="preserve">of the 77 largest life insurance companies.  </w:t>
      </w:r>
      <w:r w:rsidR="001172E1">
        <w:t xml:space="preserve">Grace and Yuan (2012) update the Wheaton </w:t>
      </w:r>
      <w:r w:rsidR="005C2B51">
        <w:t xml:space="preserve">paper </w:t>
      </w:r>
      <w:r w:rsidR="001172E1">
        <w:t xml:space="preserve">looking at the entire life insurance industry for a more recent time period and find similar results. </w:t>
      </w:r>
      <w:proofErr w:type="spellStart"/>
      <w:r>
        <w:t>Petroni</w:t>
      </w:r>
      <w:proofErr w:type="spellEnd"/>
      <w:r>
        <w:t xml:space="preserve"> and Shackelford (1995) consider the effect of state premium taxes and regulation on the choice of organizational form of property and casualty insurers.  </w:t>
      </w:r>
      <w:r w:rsidR="003D3723">
        <w:t xml:space="preserve">Finally, </w:t>
      </w:r>
      <w:r w:rsidR="007512C4">
        <w:t xml:space="preserve">Grace </w:t>
      </w:r>
      <w:r w:rsidR="00EB6FFD" w:rsidRPr="00B75C99">
        <w:t>et al</w:t>
      </w:r>
      <w:r w:rsidR="00EB6FFD" w:rsidRPr="000066F4">
        <w:rPr>
          <w:i/>
        </w:rPr>
        <w:t>.</w:t>
      </w:r>
      <w:r w:rsidR="007512C4">
        <w:t xml:space="preserve"> (200</w:t>
      </w:r>
      <w:r w:rsidR="00FF0012">
        <w:t>9</w:t>
      </w:r>
      <w:r w:rsidR="007512C4">
        <w:t>) provide a descriptive analysis of the relationship between property-</w:t>
      </w:r>
      <w:r w:rsidR="000E16EC">
        <w:t>casualty</w:t>
      </w:r>
      <w:r w:rsidR="007512C4">
        <w:t xml:space="preserve"> employment and the premium tax rate.</w:t>
      </w:r>
    </w:p>
    <w:p w:rsidR="001A07F9" w:rsidRDefault="007A4A25" w:rsidP="00FA418C">
      <w:pPr>
        <w:spacing w:line="480" w:lineRule="auto"/>
        <w:ind w:right="1440" w:firstLine="720"/>
      </w:pPr>
      <w:r>
        <w:t>In this research w</w:t>
      </w:r>
      <w:r w:rsidR="009D380A">
        <w:t xml:space="preserve">e </w:t>
      </w:r>
      <w:r w:rsidR="00BF1FA3">
        <w:t xml:space="preserve">calculate </w:t>
      </w:r>
      <w:r w:rsidR="009D380A">
        <w:t xml:space="preserve">the effective </w:t>
      </w:r>
      <w:r w:rsidR="00BF1FA3">
        <w:t xml:space="preserve">tax </w:t>
      </w:r>
      <w:r w:rsidR="009D380A">
        <w:t>rate on</w:t>
      </w:r>
      <w:r w:rsidR="00BF1FA3">
        <w:t xml:space="preserve"> premiums</w:t>
      </w:r>
      <w:r w:rsidR="009D380A">
        <w:t xml:space="preserve"> </w:t>
      </w:r>
      <w:r w:rsidR="00BF1FA3">
        <w:t xml:space="preserve">written by </w:t>
      </w:r>
      <w:r w:rsidR="009D380A">
        <w:t xml:space="preserve">domestic insurers </w:t>
      </w:r>
      <w:r w:rsidR="00BF1FA3">
        <w:t xml:space="preserve">and </w:t>
      </w:r>
      <w:r w:rsidR="00B81D90">
        <w:t>identify the statutory tax rate for</w:t>
      </w:r>
      <w:r w:rsidR="00BF1FA3">
        <w:t xml:space="preserve"> premiums written by </w:t>
      </w:r>
      <w:r w:rsidR="009D380A">
        <w:t>foreign insurers</w:t>
      </w:r>
      <w:r w:rsidR="00D0360A">
        <w:t xml:space="preserve"> </w:t>
      </w:r>
      <w:r w:rsidR="00E44142">
        <w:t xml:space="preserve">for </w:t>
      </w:r>
      <w:r w:rsidR="00B81D90">
        <w:t xml:space="preserve">each state and year for </w:t>
      </w:r>
      <w:r w:rsidR="00E44142">
        <w:t>the period 199</w:t>
      </w:r>
      <w:r w:rsidR="008A5F30">
        <w:t>6-2010</w:t>
      </w:r>
      <w:r w:rsidR="009D380A">
        <w:t>.</w:t>
      </w:r>
      <w:r w:rsidR="0003381C">
        <w:rPr>
          <w:rStyle w:val="FootnoteReference"/>
        </w:rPr>
        <w:footnoteReference w:id="2"/>
      </w:r>
      <w:r w:rsidR="009D380A">
        <w:t xml:space="preserve">  </w:t>
      </w:r>
      <w:r w:rsidR="00A678D1">
        <w:t>We estimate the effect of the insurance premium tax rate on several measures of industry size, including employment</w:t>
      </w:r>
      <w:r w:rsidR="009202A4">
        <w:t>, using multiple models</w:t>
      </w:r>
      <w:r w:rsidR="00A678D1">
        <w:t xml:space="preserve">. </w:t>
      </w:r>
      <w:r w:rsidR="009202A4">
        <w:t xml:space="preserve"> Our estimates do differ across the various models we estimate and measures of industry size.  However, the empirical results imply </w:t>
      </w:r>
      <w:r w:rsidR="00E23532">
        <w:t xml:space="preserve">that the insurance premium tax on property-casualty insurance companies has a </w:t>
      </w:r>
      <w:r w:rsidR="00A678D1">
        <w:t xml:space="preserve">large </w:t>
      </w:r>
      <w:r w:rsidR="00E23532">
        <w:t xml:space="preserve">negative effect on state-level </w:t>
      </w:r>
      <w:r w:rsidR="00441E8B">
        <w:t xml:space="preserve">measures of the size of the property-casualty insurance industry, including </w:t>
      </w:r>
      <w:r w:rsidR="00E23532">
        <w:t xml:space="preserve">employment.  </w:t>
      </w:r>
    </w:p>
    <w:p w:rsidR="008571E7" w:rsidRDefault="008571E7" w:rsidP="00FA418C">
      <w:pPr>
        <w:spacing w:line="480" w:lineRule="auto"/>
        <w:ind w:right="1440" w:firstLine="720"/>
      </w:pPr>
      <w:r>
        <w:t xml:space="preserve">The remainder of the paper proceeds as follows.  </w:t>
      </w:r>
      <w:r w:rsidR="007512C4">
        <w:t>T</w:t>
      </w:r>
      <w:r>
        <w:t xml:space="preserve">he next section </w:t>
      </w:r>
      <w:r w:rsidR="007512C4">
        <w:t xml:space="preserve">contains a description of </w:t>
      </w:r>
      <w:r>
        <w:t xml:space="preserve">the insurance premium tax and </w:t>
      </w:r>
      <w:r w:rsidR="007512C4">
        <w:t xml:space="preserve">a theoretical framework of the </w:t>
      </w:r>
      <w:r w:rsidR="00CB60B0">
        <w:t xml:space="preserve">incentive </w:t>
      </w:r>
      <w:r w:rsidR="007512C4">
        <w:t xml:space="preserve">effect of the premium tax on the </w:t>
      </w:r>
      <w:r w:rsidR="00CB60B0">
        <w:t>location</w:t>
      </w:r>
      <w:r w:rsidR="007512C4">
        <w:t xml:space="preserve"> of </w:t>
      </w:r>
      <w:r w:rsidR="00CB60B0">
        <w:t xml:space="preserve">firms in </w:t>
      </w:r>
      <w:r w:rsidR="007512C4">
        <w:t xml:space="preserve">the industry. </w:t>
      </w:r>
      <w:r>
        <w:t xml:space="preserve">Section 3 discusses our </w:t>
      </w:r>
      <w:r w:rsidR="00362D19">
        <w:t xml:space="preserve">empirical </w:t>
      </w:r>
      <w:r>
        <w:t xml:space="preserve">approach to the </w:t>
      </w:r>
      <w:r>
        <w:lastRenderedPageBreak/>
        <w:t>issue</w:t>
      </w:r>
      <w:r w:rsidR="00362D19">
        <w:t xml:space="preserve">.  Section </w:t>
      </w:r>
      <w:r w:rsidR="008523FB">
        <w:t>4</w:t>
      </w:r>
      <w:r w:rsidR="00362D19">
        <w:t xml:space="preserve"> </w:t>
      </w:r>
      <w:r w:rsidR="007512C4">
        <w:t>contains</w:t>
      </w:r>
      <w:r w:rsidR="00362D19">
        <w:t xml:space="preserve"> </w:t>
      </w:r>
      <w:r>
        <w:t>a discussion of the data</w:t>
      </w:r>
      <w:r w:rsidR="00705CE5">
        <w:t xml:space="preserve"> used</w:t>
      </w:r>
      <w:r w:rsidR="008523FB">
        <w:t>, and s</w:t>
      </w:r>
      <w:r w:rsidR="000C6945">
        <w:t xml:space="preserve">ection </w:t>
      </w:r>
      <w:r w:rsidR="008523FB">
        <w:t>5</w:t>
      </w:r>
      <w:r w:rsidR="000C6945">
        <w:t xml:space="preserve"> presents the empirical results.  Concluding comments finish the paper.</w:t>
      </w:r>
    </w:p>
    <w:p w:rsidR="006A6632" w:rsidRDefault="006A6632" w:rsidP="00FA418C">
      <w:pPr>
        <w:spacing w:line="480" w:lineRule="auto"/>
        <w:ind w:right="1440"/>
      </w:pPr>
    </w:p>
    <w:p w:rsidR="0022158C" w:rsidRPr="00094B92" w:rsidRDefault="0022158C" w:rsidP="00FA418C">
      <w:pPr>
        <w:spacing w:line="480" w:lineRule="auto"/>
        <w:ind w:right="1440"/>
        <w:rPr>
          <w:b/>
        </w:rPr>
      </w:pPr>
      <w:r w:rsidRPr="00094B92">
        <w:rPr>
          <w:b/>
        </w:rPr>
        <w:t xml:space="preserve">2. </w:t>
      </w:r>
      <w:r>
        <w:rPr>
          <w:b/>
        </w:rPr>
        <w:t>Taxes on Insurance Premiums</w:t>
      </w:r>
    </w:p>
    <w:p w:rsidR="00E74BCA" w:rsidRDefault="007A4A25" w:rsidP="00FA418C">
      <w:pPr>
        <w:suppressAutoHyphens/>
        <w:spacing w:line="480" w:lineRule="auto"/>
        <w:ind w:right="1440" w:firstLine="720"/>
      </w:pPr>
      <w:r>
        <w:t>I</w:t>
      </w:r>
      <w:r w:rsidR="00B92DB8">
        <w:t>n</w:t>
      </w:r>
      <w:r w:rsidR="00C33948">
        <w:t xml:space="preserve">surance companies </w:t>
      </w:r>
      <w:r w:rsidR="00B92DB8">
        <w:t xml:space="preserve">writing policies in a state are </w:t>
      </w:r>
      <w:r w:rsidR="002C26C4">
        <w:t xml:space="preserve">generally </w:t>
      </w:r>
      <w:r>
        <w:t>not subject to the state corporate income tax</w:t>
      </w:r>
      <w:r w:rsidR="007D7D17">
        <w:t>,</w:t>
      </w:r>
      <w:r>
        <w:t xml:space="preserve"> but </w:t>
      </w:r>
      <w:r w:rsidR="002C26C4">
        <w:t xml:space="preserve">instead </w:t>
      </w:r>
      <w:r>
        <w:t xml:space="preserve">are </w:t>
      </w:r>
      <w:r w:rsidR="00B92DB8">
        <w:t>taxed on the value of premiums written in that state</w:t>
      </w:r>
      <w:r w:rsidR="00C33948">
        <w:t>.</w:t>
      </w:r>
      <w:r w:rsidR="00FF28DE">
        <w:rPr>
          <w:rStyle w:val="FootnoteReference"/>
        </w:rPr>
        <w:footnoteReference w:id="3"/>
      </w:r>
      <w:r w:rsidR="00FF28DE">
        <w:rPr>
          <w:rStyle w:val="FootnoteReference"/>
        </w:rPr>
        <w:t>,</w:t>
      </w:r>
      <w:r w:rsidR="00E568FE">
        <w:rPr>
          <w:rStyle w:val="FootnoteReference"/>
        </w:rPr>
        <w:footnoteReference w:id="4"/>
      </w:r>
      <w:r w:rsidR="00C33948">
        <w:t xml:space="preserve">   </w:t>
      </w:r>
      <w:r w:rsidR="00B92DB8">
        <w:t>The premium tax</w:t>
      </w:r>
      <w:r w:rsidR="00C33948">
        <w:t xml:space="preserve"> is </w:t>
      </w:r>
      <w:r w:rsidR="00936AC1">
        <w:t xml:space="preserve">a gross receipts tax </w:t>
      </w:r>
      <w:r w:rsidR="00C33948">
        <w:t xml:space="preserve">levied as a fixed percentage of the value of the premiums written in the state less a deduction for any premiums returned or dividends paid to the policyholder.  </w:t>
      </w:r>
    </w:p>
    <w:p w:rsidR="0050378B" w:rsidRDefault="00C33948" w:rsidP="00FA418C">
      <w:pPr>
        <w:suppressAutoHyphens/>
        <w:spacing w:line="480" w:lineRule="auto"/>
        <w:ind w:right="1440" w:firstLine="720"/>
      </w:pPr>
      <w:r>
        <w:t>Unlike other industries, state level taxes on the insurance industry are imposed under unique circumstances</w:t>
      </w:r>
      <w:r w:rsidR="007E50F3">
        <w:t>.</w:t>
      </w:r>
      <w:r w:rsidR="00E85220">
        <w:rPr>
          <w:rStyle w:val="FootnoteReference"/>
        </w:rPr>
        <w:footnoteReference w:id="5"/>
      </w:r>
      <w:r w:rsidR="007E50F3">
        <w:t xml:space="preserve">  </w:t>
      </w:r>
      <w:r w:rsidR="0050378B">
        <w:t xml:space="preserve">First, states </w:t>
      </w:r>
      <w:r>
        <w:t xml:space="preserve">are able to </w:t>
      </w:r>
      <w:r w:rsidR="0050378B">
        <w:t>discriminate against out-of-state commerce by imposing higher tax rate</w:t>
      </w:r>
      <w:r w:rsidR="00AF5000">
        <w:t>s</w:t>
      </w:r>
      <w:r w:rsidR="0050378B">
        <w:t xml:space="preserve"> on out-of-state carriers.</w:t>
      </w:r>
      <w:r w:rsidR="0050378B">
        <w:rPr>
          <w:rStyle w:val="FootnoteReference"/>
        </w:rPr>
        <w:footnoteReference w:id="6"/>
      </w:r>
      <w:r w:rsidR="0050378B">
        <w:t xml:space="preserve">  </w:t>
      </w:r>
      <w:r w:rsidR="000E23C1">
        <w:t>Thus, a state can</w:t>
      </w:r>
      <w:r w:rsidR="00075E11">
        <w:t>, but typically does not,</w:t>
      </w:r>
      <w:r w:rsidR="000E23C1">
        <w:t xml:space="preserve"> </w:t>
      </w:r>
      <w:r w:rsidR="007A4A25">
        <w:t xml:space="preserve">impose </w:t>
      </w:r>
      <w:r w:rsidR="000E23C1">
        <w:t xml:space="preserve">a higher foreign tax rate </w:t>
      </w:r>
      <w:r w:rsidR="004F3189">
        <w:t xml:space="preserve">compared to its </w:t>
      </w:r>
      <w:r w:rsidR="000E23C1">
        <w:t xml:space="preserve">domestic tax rate.  </w:t>
      </w:r>
      <w:r w:rsidR="002279A0">
        <w:t xml:space="preserve">The foreign tax rate applies to insurance policies written in a state by firms that are not domiciled in the state, while the </w:t>
      </w:r>
      <w:r w:rsidR="002279A0">
        <w:lastRenderedPageBreak/>
        <w:t xml:space="preserve">domestic tax rate applies to domestic firms. </w:t>
      </w:r>
      <w:r w:rsidR="0050378B">
        <w:t>Second</w:t>
      </w:r>
      <w:r w:rsidR="001F65E8">
        <w:t>,</w:t>
      </w:r>
      <w:r w:rsidR="0050378B">
        <w:t xml:space="preserve"> states </w:t>
      </w:r>
      <w:r w:rsidR="003D3723">
        <w:t xml:space="preserve">employ </w:t>
      </w:r>
      <w:r w:rsidR="0050378B">
        <w:t>defenses to th</w:t>
      </w:r>
      <w:r w:rsidR="001F65E8">
        <w:t>e</w:t>
      </w:r>
      <w:r w:rsidR="0050378B">
        <w:t>s</w:t>
      </w:r>
      <w:r w:rsidR="001F65E8">
        <w:t>e</w:t>
      </w:r>
      <w:r w:rsidR="0050378B">
        <w:t xml:space="preserve"> discriminatory tax</w:t>
      </w:r>
      <w:r w:rsidR="001F65E8">
        <w:t>es</w:t>
      </w:r>
      <w:r w:rsidR="0050378B">
        <w:t xml:space="preserve"> in the form of so-called retaliatory tax</w:t>
      </w:r>
      <w:r>
        <w:t>es</w:t>
      </w:r>
      <w:r w:rsidR="00C17E51">
        <w:t>.</w:t>
      </w:r>
      <w:r w:rsidR="0050378B">
        <w:rPr>
          <w:rStyle w:val="FootnoteReference"/>
        </w:rPr>
        <w:footnoteReference w:id="7"/>
      </w:r>
      <w:r w:rsidR="0050378B">
        <w:t xml:space="preserve">  </w:t>
      </w:r>
    </w:p>
    <w:p w:rsidR="000E23C1" w:rsidRDefault="006A6632" w:rsidP="00FA418C">
      <w:pPr>
        <w:spacing w:line="480" w:lineRule="auto"/>
        <w:ind w:right="1440" w:firstLine="720"/>
      </w:pPr>
      <w:r>
        <w:t xml:space="preserve">Retaliatory taxes are taxes imposed </w:t>
      </w:r>
      <w:r w:rsidR="00E74BCA">
        <w:t xml:space="preserve">by a state </w:t>
      </w:r>
      <w:r>
        <w:t>on insurance providers chartered in states with higher premium tax rates.</w:t>
      </w:r>
      <w:r w:rsidR="00E74BCA">
        <w:rPr>
          <w:rStyle w:val="FootnoteReference"/>
        </w:rPr>
        <w:footnoteReference w:id="8"/>
      </w:r>
      <w:r>
        <w:t xml:space="preserve">  For instance, if a Tennessee company, which faces a premium tax rate of 2.50 percent, writes a policy in Georgia, which has a total </w:t>
      </w:r>
      <w:r w:rsidR="007933FE">
        <w:t>(state plus local)</w:t>
      </w:r>
      <w:r w:rsidR="00D41779">
        <w:t xml:space="preserve"> </w:t>
      </w:r>
      <w:proofErr w:type="gramStart"/>
      <w:r w:rsidR="00D41779">
        <w:t>foreign</w:t>
      </w:r>
      <w:proofErr w:type="gramEnd"/>
      <w:r w:rsidR="007933FE">
        <w:t xml:space="preserve"> </w:t>
      </w:r>
      <w:r>
        <w:t>premium tax of 4.75</w:t>
      </w:r>
      <w:r w:rsidR="00786AD6">
        <w:t xml:space="preserve"> percent</w:t>
      </w:r>
      <w:r>
        <w:t>, then the company faces a premium tax of 4.75 percent on the policies written in Georgia.</w:t>
      </w:r>
      <w:r>
        <w:rPr>
          <w:rStyle w:val="FootnoteReference"/>
        </w:rPr>
        <w:footnoteReference w:id="9"/>
      </w:r>
      <w:r>
        <w:t xml:space="preserve">  On the other hand, if a Georgia company writes a policy in Tennessee, then the Georgia </w:t>
      </w:r>
      <w:proofErr w:type="gramStart"/>
      <w:r>
        <w:t>company</w:t>
      </w:r>
      <w:proofErr w:type="gramEnd"/>
      <w:r>
        <w:t xml:space="preserve"> faces the 2.50 percent Tennessee tax rate plus a retaliatory tax of 2.25 percent, i.e., the difference between the Tennessee tax rate of 2.50 percent and the Georgia tax rate of 4.75</w:t>
      </w:r>
      <w:r w:rsidR="00786AD6">
        <w:t xml:space="preserve"> percent</w:t>
      </w:r>
      <w:r>
        <w:t xml:space="preserve">, for a combined tax </w:t>
      </w:r>
      <w:r w:rsidR="009E01B8">
        <w:t xml:space="preserve">rate </w:t>
      </w:r>
      <w:r>
        <w:t xml:space="preserve">of 4.75 percent.  </w:t>
      </w:r>
      <w:r w:rsidR="00D41779">
        <w:t xml:space="preserve">In effect then the company pays the higher of the foreign premium tax rate in the state in which the insurance policy is written and the state in which the company is domiciled.  </w:t>
      </w:r>
      <w:r w:rsidR="00B51A37">
        <w:t xml:space="preserve">More formally, the retaliatory tax imposed by a state on out-of-state insurers is the greater of zero and the difference between the foreign tax rate imposed by the insurer’s state of domicile and the foreign tax rate imposed by the state in which the out-of-state insurer is selling the insurance policy. </w:t>
      </w:r>
      <w:r>
        <w:t xml:space="preserve">Thus, the retaliatory tax operates so that the lowest tax rate an insurer will face </w:t>
      </w:r>
      <w:r w:rsidR="00EA16BD">
        <w:t>among the states in which it sells policies</w:t>
      </w:r>
      <w:r>
        <w:t xml:space="preserve"> is the rate in </w:t>
      </w:r>
      <w:r w:rsidR="009E01B8">
        <w:t>its</w:t>
      </w:r>
      <w:r>
        <w:t xml:space="preserve"> home state.  This provides an</w:t>
      </w:r>
      <w:r w:rsidR="007D7D17">
        <w:t xml:space="preserve"> obvious</w:t>
      </w:r>
      <w:r>
        <w:t xml:space="preserve"> incentive for insurance companies to locate in states with a low tax rate</w:t>
      </w:r>
      <w:r w:rsidR="0088361A">
        <w:t xml:space="preserve"> and for states to attract more insurance companies to domicile in their state by lowering the tax rate</w:t>
      </w:r>
      <w:r w:rsidR="000E23C1">
        <w:t xml:space="preserve">.  </w:t>
      </w:r>
    </w:p>
    <w:p w:rsidR="000E23C1" w:rsidRDefault="00B00524" w:rsidP="00FA418C">
      <w:pPr>
        <w:spacing w:line="480" w:lineRule="auto"/>
        <w:ind w:right="1440" w:firstLine="720"/>
      </w:pPr>
      <w:r>
        <w:t xml:space="preserve">In addition to </w:t>
      </w:r>
      <w:r w:rsidR="004C35A8">
        <w:t>the differen</w:t>
      </w:r>
      <w:r w:rsidR="0079099B">
        <w:t>ce</w:t>
      </w:r>
      <w:r w:rsidR="004C35A8">
        <w:t xml:space="preserve"> </w:t>
      </w:r>
      <w:r w:rsidR="000E23C1">
        <w:t xml:space="preserve">in foreign and domestic tax </w:t>
      </w:r>
      <w:r w:rsidR="0088361A">
        <w:t xml:space="preserve">rates levied </w:t>
      </w:r>
      <w:r w:rsidR="005D229F">
        <w:t xml:space="preserve">by </w:t>
      </w:r>
      <w:r w:rsidR="0088361A">
        <w:t>states</w:t>
      </w:r>
      <w:r>
        <w:t xml:space="preserve">, states also implement tax policies </w:t>
      </w:r>
      <w:r w:rsidR="004C35A8">
        <w:t>that further alter the tax rate</w:t>
      </w:r>
      <w:r w:rsidR="000F7B15">
        <w:t xml:space="preserve"> </w:t>
      </w:r>
      <w:r w:rsidR="00E74BCA">
        <w:t>for domestic companies</w:t>
      </w:r>
      <w:r w:rsidR="0088361A">
        <w:t xml:space="preserve"> operating within the </w:t>
      </w:r>
      <w:r w:rsidR="0088361A">
        <w:lastRenderedPageBreak/>
        <w:t>same state</w:t>
      </w:r>
      <w:r w:rsidR="00E74BCA">
        <w:t xml:space="preserve">.  These differences in tax policies toward domestic and foreign companies </w:t>
      </w:r>
      <w:r w:rsidR="000F7B15">
        <w:t xml:space="preserve">are often in the form of tax credits </w:t>
      </w:r>
      <w:r>
        <w:t xml:space="preserve">for investments in the state </w:t>
      </w:r>
      <w:r w:rsidR="000F7B15">
        <w:t>or deduction</w:t>
      </w:r>
      <w:r w:rsidR="005E7283">
        <w:t>s</w:t>
      </w:r>
      <w:r w:rsidR="000F7B15">
        <w:t xml:space="preserve"> </w:t>
      </w:r>
      <w:r w:rsidR="00EC5A36">
        <w:t>for</w:t>
      </w:r>
      <w:r w:rsidR="006A3797">
        <w:t xml:space="preserve"> the </w:t>
      </w:r>
      <w:r w:rsidR="00EC5A36">
        <w:t>number of employees in the state</w:t>
      </w:r>
      <w:r w:rsidR="00E74BCA">
        <w:t xml:space="preserve">.  </w:t>
      </w:r>
    </w:p>
    <w:p w:rsidR="005D229F" w:rsidRDefault="005D229F" w:rsidP="00FA418C">
      <w:pPr>
        <w:spacing w:line="480" w:lineRule="auto"/>
        <w:ind w:right="1440" w:firstLine="720"/>
      </w:pPr>
      <w:r>
        <w:t xml:space="preserve">Consider </w:t>
      </w:r>
      <w:r w:rsidR="0079099B">
        <w:t xml:space="preserve">somewhat more formally </w:t>
      </w:r>
      <w:r>
        <w:t xml:space="preserve">the location incentives introduced by the retaliatory tax system.  </w:t>
      </w:r>
      <w:r w:rsidR="00405934">
        <w:t xml:space="preserve">Assume </w:t>
      </w:r>
      <w:r w:rsidR="00BE24EB">
        <w:t xml:space="preserve">that an </w:t>
      </w:r>
      <w:r w:rsidR="00BE24EB" w:rsidRPr="00471C4D">
        <w:t>insurance</w:t>
      </w:r>
      <w:r w:rsidR="00BE24EB">
        <w:t xml:space="preserve"> firm is deciding in which of two states, denoted </w:t>
      </w:r>
      <w:r w:rsidR="007813AD" w:rsidRPr="0040446D">
        <w:rPr>
          <w:i/>
        </w:rPr>
        <w:t>A</w:t>
      </w:r>
      <w:r w:rsidR="00BE24EB">
        <w:t xml:space="preserve"> and </w:t>
      </w:r>
      <w:r w:rsidR="007813AD" w:rsidRPr="0040446D">
        <w:rPr>
          <w:i/>
        </w:rPr>
        <w:t>B</w:t>
      </w:r>
      <w:r w:rsidR="00BE24EB">
        <w:t xml:space="preserve">, it should be domiciled and </w:t>
      </w:r>
      <w:r w:rsidR="007813AD" w:rsidRPr="0040446D">
        <w:t xml:space="preserve">that the </w:t>
      </w:r>
      <w:r w:rsidR="00405934">
        <w:t xml:space="preserve">firm </w:t>
      </w:r>
      <w:r w:rsidR="00E843FF">
        <w:t xml:space="preserve">expects to </w:t>
      </w:r>
      <w:r w:rsidR="00405934">
        <w:t xml:space="preserve">write policies in both states.  </w:t>
      </w:r>
      <w:r>
        <w:t xml:space="preserve">If the domestic and foreign tax rates are the same </w:t>
      </w:r>
      <w:r w:rsidR="00BB2392">
        <w:t>with</w:t>
      </w:r>
      <w:r>
        <w:t xml:space="preserve">in each state but differ across states, then because of the retaliatory tax an insurance firm can never do better in terms of the taxes paid than locating in that state with the lowest tax rate from among the states in which it sells insurance.  </w:t>
      </w:r>
    </w:p>
    <w:p w:rsidR="00A5329F" w:rsidRDefault="00A5329F" w:rsidP="00A5329F">
      <w:pPr>
        <w:spacing w:line="480" w:lineRule="auto"/>
        <w:ind w:right="1440" w:firstLine="720"/>
      </w:pPr>
      <w:r>
        <w:t xml:space="preserve">However, if the foreign and domestic rates are not equal, then the incentives are more complicated.  Let the domestic and foreign premium tax rate for state </w:t>
      </w:r>
      <w:r w:rsidRPr="00B75C99">
        <w:rPr>
          <w:i/>
        </w:rPr>
        <w:t>A</w:t>
      </w:r>
      <w:r>
        <w:t xml:space="preserve"> (</w:t>
      </w:r>
      <w:r w:rsidRPr="00B75C99">
        <w:rPr>
          <w:i/>
        </w:rPr>
        <w:t>B</w:t>
      </w:r>
      <w:r>
        <w:t xml:space="preserve">) be denoted </w:t>
      </w:r>
      <w:r w:rsidRPr="00032C63">
        <w:rPr>
          <w:position w:val="-12"/>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3pt" o:ole="">
            <v:imagedata r:id="rId11" o:title=""/>
          </v:shape>
          <o:OLEObject Type="Embed" ProgID="Equation.DSMT4" ShapeID="_x0000_i1025" DrawAspect="Content" ObjectID="_1442998644" r:id="rId12"/>
        </w:object>
      </w:r>
      <w:r>
        <w:rPr>
          <w:position w:val="-12"/>
        </w:rPr>
        <w:t xml:space="preserve"> </w:t>
      </w:r>
      <w:r>
        <w:t xml:space="preserve">and </w:t>
      </w:r>
      <w:r w:rsidRPr="00032C63">
        <w:rPr>
          <w:position w:val="-12"/>
        </w:rPr>
        <w:object w:dxaOrig="260" w:dyaOrig="380">
          <v:shape id="_x0000_i1026" type="#_x0000_t75" style="width:12.3pt;height:19.3pt" o:ole="">
            <v:imagedata r:id="rId13" o:title=""/>
          </v:shape>
          <o:OLEObject Type="Embed" ProgID="Equation.DSMT4" ShapeID="_x0000_i1026" DrawAspect="Content" ObjectID="_1442998645" r:id="rId14"/>
        </w:object>
      </w:r>
      <w: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D</m:t>
            </m:r>
          </m:sup>
        </m:sSubSup>
      </m:oMath>
      <w:r>
        <w:t xml:space="preserve"> </w:t>
      </w:r>
      <w:proofErr w:type="gramStart"/>
      <w:r>
        <w:t xml:space="preserve">and </w:t>
      </w:r>
      <w:proofErr w:type="gramEnd"/>
      <m:oMath>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oMath>
      <w:r>
        <w:t xml:space="preserve">), respectively. Let </w:t>
      </w:r>
      <w:proofErr w:type="spellStart"/>
      <w:r w:rsidRPr="00836F96">
        <w:rPr>
          <w:i/>
        </w:rPr>
        <w:t>r</w:t>
      </w:r>
      <w:r>
        <w:rPr>
          <w:i/>
          <w:vertAlign w:val="subscript"/>
        </w:rPr>
        <w:t>A</w:t>
      </w:r>
      <w:proofErr w:type="spellEnd"/>
      <w:r>
        <w:t xml:space="preserve"> </w:t>
      </w:r>
      <w:r w:rsidR="00C978AD">
        <w:t>(</w:t>
      </w:r>
      <w:proofErr w:type="spellStart"/>
      <w:r w:rsidRPr="00D36AE6">
        <w:rPr>
          <w:i/>
        </w:rPr>
        <w:t>r</w:t>
      </w:r>
      <w:r w:rsidRPr="00D36AE6">
        <w:rPr>
          <w:i/>
          <w:vertAlign w:val="subscript"/>
        </w:rPr>
        <w:t>B</w:t>
      </w:r>
      <w:proofErr w:type="spellEnd"/>
      <w:r w:rsidR="00C978AD">
        <w:t xml:space="preserve">) </w:t>
      </w:r>
      <w:r>
        <w:t xml:space="preserve">denote the retaliatory tax imposed by state </w:t>
      </w:r>
      <w:r w:rsidRPr="00D36AE6">
        <w:rPr>
          <w:i/>
        </w:rPr>
        <w:t>A</w:t>
      </w:r>
      <w:r>
        <w:t xml:space="preserve"> (</w:t>
      </w:r>
      <w:r w:rsidRPr="00D36AE6">
        <w:rPr>
          <w:i/>
        </w:rPr>
        <w:t>B</w:t>
      </w:r>
      <w:r>
        <w:t xml:space="preserve">) on firms domiciled in state </w:t>
      </w:r>
      <w:r w:rsidRPr="00D36AE6">
        <w:rPr>
          <w:i/>
        </w:rPr>
        <w:t>B</w:t>
      </w:r>
      <w:r>
        <w:t xml:space="preserve"> (</w:t>
      </w:r>
      <w:r w:rsidRPr="00D36AE6">
        <w:rPr>
          <w:i/>
        </w:rPr>
        <w:t>A</w:t>
      </w:r>
      <w:r>
        <w:t xml:space="preserve">), where </w:t>
      </w:r>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e>
            </m:d>
          </m:e>
        </m:func>
      </m:oMath>
      <w:r>
        <w:t xml:space="preserve"> and </w:t>
      </w:r>
      <m:oMath>
        <m:sSub>
          <m:sSubPr>
            <m:ctrlPr>
              <w:rPr>
                <w:rFonts w:ascii="Cambria Math" w:hAnsi="Cambria Math"/>
                <w:i/>
              </w:rPr>
            </m:ctrlPr>
          </m:sSubPr>
          <m:e>
            <m:r>
              <w:rPr>
                <w:rFonts w:ascii="Cambria Math" w:hAnsi="Cambria Math"/>
              </w:rPr>
              <m:t>r</m:t>
            </m:r>
          </m:e>
          <m:sub>
            <m:r>
              <w:rPr>
                <w:rFonts w:ascii="Cambria Math" w:hAnsi="Cambria Math"/>
              </w:rPr>
              <m:t>B</m:t>
            </m:r>
          </m:sub>
        </m:sSub>
        <m: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e>
            </m:d>
          </m:e>
        </m:func>
        <m:r>
          <w:rPr>
            <w:rFonts w:ascii="Cambria Math" w:hAnsi="Cambria Math"/>
          </w:rPr>
          <m:t xml:space="preserve">. </m:t>
        </m:r>
      </m:oMath>
      <w:r>
        <w:t xml:space="preserve"> Thus, if the firm locates in state </w:t>
      </w:r>
      <w:r w:rsidRPr="00B1067E">
        <w:rPr>
          <w:i/>
        </w:rPr>
        <w:t>A</w:t>
      </w:r>
      <w:r>
        <w:t xml:space="preserve">, the tax liability would be equal </w:t>
      </w:r>
      <w:proofErr w:type="gramStart"/>
      <w:r>
        <w:t xml:space="preserve">to </w:t>
      </w:r>
      <w:proofErr w:type="gramEnd"/>
      <m:oMath>
        <m:sSub>
          <m:sSubPr>
            <m:ctrlPr>
              <w:rPr>
                <w:rFonts w:ascii="Cambria Math" w:hAnsi="Cambria Math"/>
                <w:i/>
              </w:rPr>
            </m:ctrlPr>
          </m:sSubPr>
          <m:e>
            <m:r>
              <w:rPr>
                <w:rFonts w:ascii="Cambria Math" w:hAnsi="Cambria Math"/>
              </w:rPr>
              <m:t>P</m:t>
            </m:r>
          </m:e>
          <m:sub>
            <m:r>
              <w:rPr>
                <w:rFonts w:ascii="Cambria Math" w:hAnsi="Cambria Math"/>
              </w:rPr>
              <m:t>A</m:t>
            </m:r>
          </m:sub>
        </m:sSub>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m:t>
                </m:r>
              </m:sub>
            </m:sSub>
          </m:e>
        </m:d>
      </m:oMath>
      <w:r>
        <w:t xml:space="preserve">, while if the firm locates in state </w:t>
      </w:r>
      <w:r w:rsidRPr="00FB0708">
        <w:rPr>
          <w:i/>
        </w:rPr>
        <w:t>B</w:t>
      </w:r>
      <w:r>
        <w:t xml:space="preserve">  the taxes would be </w:t>
      </w:r>
      <m:oMath>
        <m:sSub>
          <m:sSubPr>
            <m:ctrlPr>
              <w:rPr>
                <w:rFonts w:ascii="Cambria Math" w:hAnsi="Cambria Math"/>
                <w:i/>
              </w:rPr>
            </m:ctrlPr>
          </m:sSubPr>
          <m:e>
            <m:r>
              <w:rPr>
                <w:rFonts w:ascii="Cambria Math" w:hAnsi="Cambria Math"/>
              </w:rPr>
              <m:t>P</m:t>
            </m:r>
          </m:e>
          <m:sub>
            <m:r>
              <w:rPr>
                <w:rFonts w:ascii="Cambria Math" w:hAnsi="Cambria Math"/>
              </w:rPr>
              <m:t>B</m:t>
            </m:r>
          </m:sub>
        </m:sSub>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d>
          <m:dPr>
            <m:ctrlPr>
              <w:rPr>
                <w:rFonts w:ascii="Cambria Math" w:hAnsi="Cambria Math"/>
                <w:i/>
              </w:rPr>
            </m:ctrlPr>
          </m:dPr>
          <m:e>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A</m:t>
                </m:r>
              </m:sub>
            </m:sSub>
          </m:e>
        </m:d>
      </m:oMath>
      <w:r>
        <w:t xml:space="preserve">, where </w:t>
      </w:r>
      <w:r w:rsidRPr="00793AAE">
        <w:rPr>
          <w:i/>
        </w:rPr>
        <w:t>P</w:t>
      </w:r>
      <w:r w:rsidRPr="00793AAE">
        <w:rPr>
          <w:i/>
          <w:vertAlign w:val="subscript"/>
        </w:rPr>
        <w:t>A</w:t>
      </w:r>
      <w:r>
        <w:t xml:space="preserve"> and </w:t>
      </w:r>
      <w:r w:rsidRPr="00793AAE">
        <w:rPr>
          <w:i/>
        </w:rPr>
        <w:t>P</w:t>
      </w:r>
      <w:r w:rsidRPr="00793AAE">
        <w:rPr>
          <w:i/>
          <w:vertAlign w:val="subscript"/>
        </w:rPr>
        <w:t>B</w:t>
      </w:r>
      <w:r>
        <w:t xml:space="preserve"> are the value of premiums it expects to write in the two states. </w:t>
      </w:r>
    </w:p>
    <w:p w:rsidR="00A5329F" w:rsidRDefault="00A5329F" w:rsidP="00A5329F">
      <w:pPr>
        <w:spacing w:line="480" w:lineRule="auto"/>
        <w:ind w:right="1440" w:firstLine="720"/>
      </w:pPr>
      <w:r>
        <w:t xml:space="preserve">In order to minimize its tax liability, the firm should locate in state </w:t>
      </w:r>
      <w:r w:rsidRPr="001C129C">
        <w:rPr>
          <w:i/>
        </w:rPr>
        <w:t>B</w:t>
      </w:r>
      <w:r>
        <w:t xml:space="preserve"> if </w:t>
      </w:r>
      <m:oMath>
        <m:sSub>
          <m:sSubPr>
            <m:ctrlPr>
              <w:rPr>
                <w:rFonts w:ascii="Cambria Math" w:eastAsiaTheme="minorHAnsi" w:hAnsi="Cambria Math"/>
                <w:i/>
              </w:rPr>
            </m:ctrlPr>
          </m:sSubPr>
          <m:e>
            <m:r>
              <w:rPr>
                <w:rFonts w:ascii="Cambria Math" w:hAnsi="Cambria Math"/>
              </w:rPr>
              <m:t>P</m:t>
            </m:r>
          </m:e>
          <m:sub>
            <m:r>
              <w:rPr>
                <w:rFonts w:ascii="Cambria Math" w:hAnsi="Cambria Math"/>
              </w:rPr>
              <m:t>A</m:t>
            </m:r>
          </m:sub>
        </m:sSub>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D</m:t>
            </m:r>
          </m:sup>
        </m:sSubSup>
        <m:r>
          <w:rPr>
            <w:rFonts w:ascii="Cambria Math"/>
          </w:rPr>
          <m:t>+</m:t>
        </m:r>
        <m:sSub>
          <m:sSubPr>
            <m:ctrlPr>
              <w:rPr>
                <w:rFonts w:ascii="Cambria Math" w:hAnsi="Cambria Math"/>
                <w:i/>
              </w:rPr>
            </m:ctrlPr>
          </m:sSubPr>
          <m:e>
            <m:r>
              <w:rPr>
                <w:rFonts w:ascii="Cambria Math"/>
              </w:rPr>
              <m:t>P</m:t>
            </m:r>
          </m:e>
          <m:sub>
            <m:r>
              <w:rPr>
                <w:rFonts w:ascii="Cambria Math"/>
              </w:rPr>
              <m:t>B</m:t>
            </m:r>
          </m:sub>
        </m:sSub>
        <m:sSubSup>
          <m:sSubSupPr>
            <m:ctrlPr>
              <w:rPr>
                <w:rFonts w:ascii="Cambria Math" w:hAnsi="Cambria Math"/>
                <w:i/>
              </w:rPr>
            </m:ctrlPr>
          </m:sSubSupPr>
          <m:e>
            <m:r>
              <w:rPr>
                <w:rFonts w:ascii="Cambria Math"/>
              </w:rPr>
              <m:t>(t</m:t>
            </m:r>
          </m:e>
          <m:sub>
            <m:r>
              <w:rPr>
                <w:rFonts w:ascii="Cambria Math"/>
              </w:rPr>
              <m:t>B</m:t>
            </m:r>
          </m:sub>
          <m:sup>
            <m:r>
              <w:rPr>
                <w:rFonts w:ascii="Cambria Math"/>
              </w:rPr>
              <m:t>F</m:t>
            </m:r>
          </m:sup>
        </m:sSubSup>
        <m:r>
          <w:rPr>
            <w:rFonts w:ascii="Cambria Math"/>
          </w:rPr>
          <m:t>+</m:t>
        </m:r>
        <m:sSub>
          <m:sSubPr>
            <m:ctrlPr>
              <w:rPr>
                <w:rFonts w:ascii="Cambria Math" w:hAnsi="Cambria Math"/>
                <w:i/>
              </w:rPr>
            </m:ctrlPr>
          </m:sSubPr>
          <m:e>
            <m:r>
              <w:rPr>
                <w:rFonts w:ascii="Cambria Math"/>
              </w:rPr>
              <m:t>r</m:t>
            </m:r>
          </m:e>
          <m:sub>
            <m:r>
              <w:rPr>
                <w:rFonts w:ascii="Cambria Math"/>
              </w:rPr>
              <m:t>B</m:t>
            </m:r>
          </m:sub>
        </m:sSub>
        <m:r>
          <w:rPr>
            <w:rFonts w:ascii="Cambria Math" w:hAnsi="Cambria Math"/>
          </w:rPr>
          <m:t>)-</m:t>
        </m:r>
        <m:sSubSup>
          <m:sSubSupPr>
            <m:ctrlPr>
              <w:rPr>
                <w:rFonts w:ascii="Cambria Math" w:eastAsiaTheme="minorHAnsi" w:hAnsi="Cambria Math"/>
                <w:i/>
              </w:rPr>
            </m:ctrlPr>
          </m:sSubSupPr>
          <m:e>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t</m:t>
            </m:r>
          </m:e>
          <m:sub>
            <m:r>
              <w:rPr>
                <w:rFonts w:ascii="Cambria Math" w:hAnsi="Cambria Math"/>
              </w:rPr>
              <m:t>B</m:t>
            </m:r>
          </m:sub>
          <m:sup>
            <m:r>
              <w:rPr>
                <w:rFonts w:ascii="Cambria Math" w:hAnsi="Cambria Math"/>
              </w:rPr>
              <m:t>D</m:t>
            </m:r>
          </m:sup>
        </m:sSub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)&gt; 0</m:t>
        </m:r>
      </m:oMath>
      <w:r>
        <w:t>.  Rearranging terms, this inequality can be rewritten as</w:t>
      </w:r>
    </w:p>
    <w:p w:rsidR="00A5329F" w:rsidRPr="00E24579" w:rsidRDefault="00A5329F" w:rsidP="00A5329F">
      <w:pPr>
        <w:spacing w:line="480" w:lineRule="auto"/>
        <w:ind w:right="1440" w:firstLine="720"/>
        <w:rPr>
          <w:rFonts w:eastAsiaTheme="minorEastAsia"/>
        </w:rPr>
      </w:pPr>
      <w:r>
        <w:rPr>
          <w:rFonts w:ascii="Cambria Math"/>
        </w:rPr>
        <w:tab/>
      </w:r>
      <m:oMath>
        <m:sSub>
          <m:sSubPr>
            <m:ctrlPr>
              <w:rPr>
                <w:rFonts w:ascii="Cambria Math" w:eastAsiaTheme="minorHAnsi"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r>
              <w:rPr>
                <w:rFonts w:ascii="Cambria Math" w:hAnsi="Cambria Math"/>
              </w:rPr>
              <m:t>-</m:t>
            </m:r>
            <m:sSub>
              <m:sSubPr>
                <m:ctrlPr>
                  <w:rPr>
                    <w:rFonts w:ascii="Cambria Math" w:eastAsiaTheme="minorHAnsi" w:hAnsi="Cambria Math"/>
                    <w:i/>
                  </w:rPr>
                </m:ctrlPr>
              </m:sSubPr>
              <m:e>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D</m:t>
                    </m:r>
                  </m:sup>
                </m:sSubSup>
                <m:r>
                  <w:rPr>
                    <w:rFonts w:ascii="Cambria Math"/>
                  </w:rPr>
                  <m:t>)</m:t>
                </m:r>
                <m:r>
                  <w:rPr>
                    <w:rFonts w:ascii="Cambria Math"/>
                  </w:rPr>
                  <m:t>-</m:t>
                </m:r>
                <m:r>
                  <w:rPr>
                    <w:rFonts w:ascii="Cambria Math" w:hAnsi="Cambria Math"/>
                  </w:rPr>
                  <m:t>P</m:t>
                </m:r>
              </m:e>
              <m:sub>
                <m:r>
                  <w:rPr>
                    <w:rFonts w:ascii="Cambria Math" w:hAnsi="Cambria Math"/>
                  </w:rPr>
                  <m:t>A</m:t>
                </m:r>
              </m:sub>
            </m:sSub>
            <m:sSubSup>
              <m:sSubSupPr>
                <m:ctrlPr>
                  <w:rPr>
                    <w:rFonts w:ascii="Cambria Math" w:eastAsiaTheme="minorHAnsi" w:hAnsi="Cambria Math"/>
                    <w:i/>
                  </w:rPr>
                </m:ctrlPr>
              </m:sSubSupPr>
              <m:e>
                <m:r>
                  <w:rPr>
                    <w:rFonts w:ascii="Cambria Math"/>
                  </w:rPr>
                  <m:t>(</m:t>
                </m:r>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D</m:t>
                </m:r>
              </m:sup>
            </m:sSubSup>
          </m:e>
        </m:d>
        <m:r>
          <w:rPr>
            <w:rFonts w:ascii="Cambria Math"/>
          </w:rPr>
          <m:t>+</m:t>
        </m:r>
        <m:sSub>
          <m:sSubPr>
            <m:ctrlPr>
              <w:rPr>
                <w:rFonts w:ascii="Cambria Math" w:hAnsi="Cambria Math"/>
                <w:i/>
              </w:rPr>
            </m:ctrlPr>
          </m:sSubPr>
          <m:e>
            <m:r>
              <w:rPr>
                <w:rFonts w:ascii="Cambria Math"/>
              </w:rPr>
              <m:t>P</m:t>
            </m:r>
          </m:e>
          <m:sub>
            <m:r>
              <w:rPr>
                <w:rFonts w:ascii="Cambria Math"/>
              </w:rPr>
              <m:t>B</m:t>
            </m:r>
          </m:sub>
        </m:sSub>
        <m:sSub>
          <m:sSubPr>
            <m:ctrlPr>
              <w:rPr>
                <w:rFonts w:ascii="Cambria Math" w:hAnsi="Cambria Math"/>
                <w:i/>
              </w:rPr>
            </m:ctrlPr>
          </m:sSubPr>
          <m:e>
            <m:r>
              <w:rPr>
                <w:rFonts w:ascii="Cambria Math"/>
              </w:rPr>
              <m:t>r</m:t>
            </m:r>
          </m:e>
          <m:sub>
            <m:r>
              <w:rPr>
                <w:rFonts w:ascii="Cambria Math"/>
              </w:rPr>
              <m:t>B</m:t>
            </m:r>
          </m:sub>
        </m:sSub>
        <m:r>
          <w:rPr>
            <w:rFonts w:ascii="Cambria Math"/>
          </w:rPr>
          <m:t>-</m:t>
        </m:r>
        <m:sSub>
          <m:sSubPr>
            <m:ctrlPr>
              <w:rPr>
                <w:rFonts w:ascii="Cambria Math" w:hAnsi="Cambria Math"/>
                <w:i/>
              </w:rPr>
            </m:ctrlPr>
          </m:sSubPr>
          <m:e>
            <m:r>
              <w:rPr>
                <w:rFonts w:ascii="Cambria Math"/>
              </w:rPr>
              <m:t>P</m:t>
            </m:r>
          </m:e>
          <m:sub>
            <m:r>
              <w:rPr>
                <w:rFonts w:ascii="Cambria Math"/>
              </w:rPr>
              <m:t>A</m:t>
            </m:r>
          </m:sub>
        </m:sSub>
        <m:sSub>
          <m:sSubPr>
            <m:ctrlPr>
              <w:rPr>
                <w:rFonts w:ascii="Cambria Math" w:hAnsi="Cambria Math"/>
                <w:i/>
              </w:rPr>
            </m:ctrlPr>
          </m:sSubPr>
          <m:e>
            <m:r>
              <w:rPr>
                <w:rFonts w:ascii="Cambria Math"/>
              </w:rPr>
              <m:t>r</m:t>
            </m:r>
          </m:e>
          <m:sub>
            <m:r>
              <w:rPr>
                <w:rFonts w:ascii="Cambria Math"/>
              </w:rPr>
              <m:t>A</m:t>
            </m:r>
          </m:sub>
        </m:sSub>
        <m:r>
          <w:rPr>
            <w:rFonts w:ascii="Cambria Math"/>
          </w:rPr>
          <m:t>&gt;0</m:t>
        </m:r>
      </m:oMath>
      <w:r>
        <w:rPr>
          <w:rFonts w:ascii="Cambria Math"/>
        </w:rPr>
        <w:t xml:space="preserve"> </w:t>
      </w:r>
      <w:r>
        <w:rPr>
          <w:rFonts w:ascii="Cambria Math"/>
        </w:rPr>
        <w:tab/>
      </w:r>
      <w:r>
        <w:rPr>
          <w:rFonts w:eastAsiaTheme="minorEastAsia"/>
        </w:rPr>
        <w:tab/>
        <w:t>[1]</w:t>
      </w:r>
    </w:p>
    <w:p w:rsidR="00A5329F" w:rsidRDefault="00A5329F" w:rsidP="00A5329F">
      <w:pPr>
        <w:spacing w:line="480" w:lineRule="auto"/>
        <w:ind w:right="1440"/>
      </w:pPr>
      <w:r>
        <w:rPr>
          <w:rFonts w:eastAsiaTheme="minorEastAsia"/>
        </w:rPr>
        <w:t>The f</w:t>
      </w:r>
      <w:r w:rsidRPr="00E24579">
        <w:rPr>
          <w:rFonts w:eastAsiaTheme="minorEastAsia"/>
        </w:rPr>
        <w:t xml:space="preserve">irst </w:t>
      </w:r>
      <w:r>
        <w:rPr>
          <w:rFonts w:eastAsiaTheme="minorEastAsia"/>
        </w:rPr>
        <w:t>and second</w:t>
      </w:r>
      <w:r w:rsidRPr="00E24579">
        <w:rPr>
          <w:rFonts w:eastAsiaTheme="minorEastAsia"/>
        </w:rPr>
        <w:t xml:space="preserve"> terms </w:t>
      </w:r>
      <w:r>
        <w:rPr>
          <w:rFonts w:eastAsiaTheme="minorEastAsia"/>
        </w:rPr>
        <w:t xml:space="preserve">of expression 1 </w:t>
      </w:r>
      <w:r w:rsidRPr="00E24579">
        <w:rPr>
          <w:rFonts w:eastAsiaTheme="minorEastAsia"/>
        </w:rPr>
        <w:t>illustrate the influence of the intra-state differences between the foreign and the domestic rates</w:t>
      </w:r>
      <w:r>
        <w:rPr>
          <w:rFonts w:eastAsiaTheme="minorEastAsia"/>
        </w:rPr>
        <w:t xml:space="preserve"> and the difference in the value of premiums written in each state</w:t>
      </w:r>
      <w:r w:rsidRPr="00E24579">
        <w:rPr>
          <w:rFonts w:eastAsiaTheme="minorEastAsia"/>
        </w:rPr>
        <w:t xml:space="preserve">.  </w:t>
      </w:r>
      <w:r>
        <w:rPr>
          <w:rFonts w:eastAsiaTheme="minorEastAsia"/>
        </w:rPr>
        <w:t xml:space="preserve">The third and fourth terms depend on the retaliatory taxes, which depend on the relative values of </w:t>
      </w:r>
      <m:oMath>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oMath>
      <w:r>
        <w:rPr>
          <w:rFonts w:eastAsiaTheme="minorEastAsia"/>
        </w:rPr>
        <w:t xml:space="preserve"> and </w:t>
      </w:r>
      <m:oMath>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oMath>
      <w:r>
        <w:rPr>
          <w:rFonts w:eastAsiaTheme="minorEastAsia"/>
        </w:rPr>
        <w:t>.  Assum</w:t>
      </w:r>
      <w:r w:rsidR="00C978AD">
        <w:rPr>
          <w:rFonts w:eastAsiaTheme="minorEastAsia"/>
        </w:rPr>
        <w:t>ing</w:t>
      </w:r>
      <w:r>
        <w:rPr>
          <w:rFonts w:eastAsiaTheme="minorEastAsia"/>
        </w:rPr>
        <w:t xml:space="preserve"> </w:t>
      </w:r>
      <w:r>
        <w:t>the following relationship between the domestic and foreign rates in the two states</w:t>
      </w:r>
      <w:proofErr w:type="gramStart"/>
      <w:r w:rsidR="00C978AD">
        <w:t>,</w:t>
      </w:r>
      <w:r>
        <w:t xml:space="preserve"> </w:t>
      </w:r>
      <w:proofErr w:type="gramEnd"/>
      <m:oMath>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 xml:space="preserve">&gt; </m:t>
        </m:r>
        <m:sSubSup>
          <m:sSubSupPr>
            <m:ctrlPr>
              <w:rPr>
                <w:rFonts w:ascii="Cambria Math" w:hAnsi="Cambria Math"/>
                <w:i/>
              </w:rPr>
            </m:ctrlPr>
          </m:sSubSupPr>
          <m:e>
            <m:r>
              <w:rPr>
                <w:rFonts w:ascii="Cambria Math" w:hAnsi="Cambria Math"/>
              </w:rPr>
              <m:t>t</m:t>
            </m:r>
          </m:e>
          <m:sub>
            <m:r>
              <w:rPr>
                <w:rFonts w:ascii="Cambria Math" w:hAnsi="Cambria Math"/>
              </w:rPr>
              <m:t>A</m:t>
            </m:r>
          </m:sub>
          <m:sup>
            <m:r>
              <w:rPr>
                <w:rFonts w:ascii="Cambria Math" w:hAnsi="Cambria Math"/>
              </w:rPr>
              <m:t>D</m:t>
            </m:r>
          </m:sup>
        </m:sSubSup>
        <m:r>
          <w:rPr>
            <w:rFonts w:ascii="Cambria Math" w:hAnsi="Cambria Math"/>
          </w:rPr>
          <m:t>&gt;</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r>
          <w:rPr>
            <w:rFonts w:ascii="Cambria Math" w:hAnsi="Cambria Math"/>
          </w:rPr>
          <m:t xml:space="preserve">&gt; </m:t>
        </m:r>
        <m:sSubSup>
          <m:sSubSupPr>
            <m:ctrlPr>
              <w:rPr>
                <w:rFonts w:ascii="Cambria Math" w:hAnsi="Cambria Math"/>
                <w:i/>
              </w:rPr>
            </m:ctrlPr>
          </m:sSubSupPr>
          <m:e>
            <m:r>
              <w:rPr>
                <w:rFonts w:ascii="Cambria Math" w:hAnsi="Cambria Math"/>
              </w:rPr>
              <m:t>t</m:t>
            </m:r>
          </m:e>
          <m:sub>
            <m:r>
              <w:rPr>
                <w:rFonts w:ascii="Cambria Math" w:hAnsi="Cambria Math"/>
              </w:rPr>
              <m:t>B</m:t>
            </m:r>
          </m:sub>
          <m:sup>
            <m:r>
              <w:rPr>
                <w:rFonts w:ascii="Cambria Math" w:hAnsi="Cambria Math"/>
              </w:rPr>
              <m:t>D</m:t>
            </m:r>
          </m:sup>
        </m:sSubSup>
      </m:oMath>
      <w:r w:rsidR="00C978AD">
        <w:t>, e</w:t>
      </w:r>
      <w:r>
        <w:t>xpression 1 becomes</w:t>
      </w:r>
    </w:p>
    <w:p w:rsidR="00A5329F" w:rsidRDefault="000379A8" w:rsidP="00A5329F">
      <w:pPr>
        <w:spacing w:line="480" w:lineRule="auto"/>
        <w:ind w:left="1440" w:right="1440"/>
      </w:pPr>
      <m:oMath>
        <m:sSub>
          <m:sSubPr>
            <m:ctrlPr>
              <w:rPr>
                <w:rFonts w:ascii="Cambria Math" w:eastAsiaTheme="minorHAnsi"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r>
              <w:rPr>
                <w:rFonts w:ascii="Cambria Math" w:hAnsi="Cambria Math"/>
              </w:rPr>
              <m:t>-</m:t>
            </m:r>
            <m:sSub>
              <m:sSubPr>
                <m:ctrlPr>
                  <w:rPr>
                    <w:rFonts w:ascii="Cambria Math" w:eastAsiaTheme="minorHAnsi" w:hAnsi="Cambria Math"/>
                    <w:i/>
                  </w:rPr>
                </m:ctrlPr>
              </m:sSubPr>
              <m:e>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D</m:t>
                    </m:r>
                  </m:sup>
                </m:sSubSup>
                <m:r>
                  <w:rPr>
                    <w:rFonts w:ascii="Cambria Math"/>
                  </w:rPr>
                  <m:t>)</m:t>
                </m:r>
                <m:r>
                  <w:rPr>
                    <w:rFonts w:ascii="Cambria Math"/>
                  </w:rPr>
                  <m:t>-</m:t>
                </m:r>
                <m:r>
                  <w:rPr>
                    <w:rFonts w:ascii="Cambria Math" w:hAnsi="Cambria Math"/>
                  </w:rPr>
                  <m:t>P</m:t>
                </m:r>
              </m:e>
              <m:sub>
                <m:r>
                  <w:rPr>
                    <w:rFonts w:ascii="Cambria Math" w:hAnsi="Cambria Math"/>
                  </w:rPr>
                  <m:t>A</m:t>
                </m:r>
              </m:sub>
            </m:sSub>
            <m:sSubSup>
              <m:sSubSupPr>
                <m:ctrlPr>
                  <w:rPr>
                    <w:rFonts w:ascii="Cambria Math" w:eastAsiaTheme="minorHAnsi" w:hAnsi="Cambria Math"/>
                    <w:i/>
                  </w:rPr>
                </m:ctrlPr>
              </m:sSubSupPr>
              <m:e>
                <m:r>
                  <w:rPr>
                    <w:rFonts w:ascii="Cambria Math"/>
                  </w:rPr>
                  <m:t>(</m:t>
                </m:r>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D</m:t>
                </m:r>
              </m:sup>
            </m:sSubSup>
          </m:e>
        </m:d>
        <m:r>
          <w:rPr>
            <w:rFonts w:ascii="Cambria Math"/>
          </w:rPr>
          <m:t>+</m:t>
        </m:r>
        <m:sSub>
          <m:sSubPr>
            <m:ctrlPr>
              <w:rPr>
                <w:rFonts w:ascii="Cambria Math" w:eastAsiaTheme="minorHAnsi"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e>
        </m:d>
        <m:r>
          <w:rPr>
            <w:rFonts w:ascii="Cambria Math"/>
          </w:rPr>
          <m:t>&gt;0</m:t>
        </m:r>
      </m:oMath>
      <w:r w:rsidR="00A5329F">
        <w:tab/>
      </w:r>
      <w:r w:rsidR="00A5329F">
        <w:tab/>
        <w:t>[2]</w:t>
      </w:r>
    </w:p>
    <w:p w:rsidR="00A5329F" w:rsidRDefault="00A5329F" w:rsidP="00A5329F">
      <w:pPr>
        <w:spacing w:line="480" w:lineRule="auto"/>
        <w:ind w:right="1440" w:firstLine="720"/>
      </w:pPr>
      <w:r>
        <w:rPr>
          <w:rFonts w:eastAsiaTheme="minorEastAsia"/>
        </w:rPr>
        <w:t xml:space="preserve">The left hand side of expression 2 is more likely to be greater than zero: the larger the value of </w:t>
      </w:r>
      <w:r w:rsidRPr="00EF175B">
        <w:rPr>
          <w:i/>
        </w:rPr>
        <w:t>P</w:t>
      </w:r>
      <w:r w:rsidRPr="00EF175B">
        <w:rPr>
          <w:i/>
          <w:vertAlign w:val="subscript"/>
        </w:rPr>
        <w:t>B</w:t>
      </w:r>
      <w:r>
        <w:t xml:space="preserve">; the larger the value of </w:t>
      </w:r>
      <m:oMath>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D</m:t>
                </m:r>
              </m:sup>
            </m:sSubSup>
          </m:e>
        </m:d>
      </m:oMath>
      <w:r>
        <w:t xml:space="preserve">, since if we disregard the retaliatory tax, the tax on </w:t>
      </w:r>
      <w:r w:rsidRPr="00EF175B">
        <w:rPr>
          <w:i/>
        </w:rPr>
        <w:t>P</w:t>
      </w:r>
      <w:r w:rsidRPr="00EF175B">
        <w:rPr>
          <w:i/>
          <w:vertAlign w:val="subscript"/>
        </w:rPr>
        <w:t>B</w:t>
      </w:r>
      <w:r>
        <w:t xml:space="preserve"> falls by </w:t>
      </w:r>
      <m:oMath>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D</m:t>
                </m:r>
              </m:sup>
            </m:sSubSup>
          </m:e>
        </m:d>
      </m:oMath>
      <w:r>
        <w:t xml:space="preserve"> if the firm locates in state </w:t>
      </w:r>
      <w:r w:rsidRPr="00EF175B">
        <w:rPr>
          <w:i/>
        </w:rPr>
        <w:t>B</w:t>
      </w:r>
      <w:r>
        <w:t xml:space="preserve"> rather than state </w:t>
      </w:r>
      <w:r w:rsidRPr="00EF175B">
        <w:rPr>
          <w:i/>
        </w:rPr>
        <w:t>A</w:t>
      </w:r>
      <w:r>
        <w:t>; t</w:t>
      </w:r>
      <w:r w:rsidRPr="00E24579">
        <w:rPr>
          <w:rFonts w:eastAsiaTheme="minorEastAsia"/>
        </w:rPr>
        <w:t xml:space="preserve">he </w:t>
      </w:r>
      <w:r>
        <w:rPr>
          <w:rFonts w:eastAsiaTheme="minorEastAsia"/>
        </w:rPr>
        <w:t xml:space="preserve">smaller the value of </w:t>
      </w:r>
      <w:r w:rsidRPr="00EF175B">
        <w:rPr>
          <w:rFonts w:eastAsiaTheme="minorEastAsia"/>
          <w:i/>
        </w:rPr>
        <w:t>P</w:t>
      </w:r>
      <w:r w:rsidRPr="00EF175B">
        <w:rPr>
          <w:rFonts w:eastAsiaTheme="minorEastAsia"/>
          <w:i/>
          <w:vertAlign w:val="subscript"/>
        </w:rPr>
        <w:t>A</w:t>
      </w:r>
      <w:r>
        <w:rPr>
          <w:rFonts w:eastAsiaTheme="minorEastAsia"/>
        </w:rPr>
        <w:t xml:space="preserve">; and the smaller is </w:t>
      </w:r>
      <m:oMath>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D</m:t>
                </m:r>
              </m:sup>
            </m:sSubSup>
          </m:e>
        </m:d>
      </m:oMath>
      <w:r>
        <w:rPr>
          <w:rFonts w:eastAsiaTheme="minorEastAsia"/>
        </w:rPr>
        <w:t xml:space="preserve">, since the tax on </w:t>
      </w:r>
      <w:r w:rsidRPr="00EB63D6">
        <w:rPr>
          <w:rFonts w:eastAsiaTheme="minorEastAsia"/>
          <w:i/>
        </w:rPr>
        <w:t>P</w:t>
      </w:r>
      <w:r w:rsidRPr="00EB63D6">
        <w:rPr>
          <w:rFonts w:eastAsiaTheme="minorEastAsia"/>
          <w:i/>
          <w:vertAlign w:val="subscript"/>
        </w:rPr>
        <w:t>A</w:t>
      </w:r>
      <w:r>
        <w:rPr>
          <w:rFonts w:eastAsiaTheme="minorEastAsia"/>
        </w:rPr>
        <w:t xml:space="preserve"> rises by </w:t>
      </w:r>
      <m:oMath>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D</m:t>
                </m:r>
              </m:sup>
            </m:sSubSup>
          </m:e>
        </m:d>
      </m:oMath>
      <w:r>
        <w:rPr>
          <w:rFonts w:eastAsiaTheme="minorEastAsia"/>
        </w:rPr>
        <w:t xml:space="preserve"> if the firm locates in state </w:t>
      </w:r>
      <w:r w:rsidRPr="00B75C99">
        <w:rPr>
          <w:rFonts w:eastAsiaTheme="minorEastAsia"/>
          <w:i/>
        </w:rPr>
        <w:t>B</w:t>
      </w:r>
      <w:r>
        <w:rPr>
          <w:rFonts w:eastAsiaTheme="minorEastAsia"/>
        </w:rPr>
        <w:t xml:space="preserve">; </w:t>
      </w:r>
      <w:r w:rsidRPr="00EF175B">
        <w:t>the</w:t>
      </w:r>
      <w:r>
        <w:t xml:space="preserve"> larger the value of </w:t>
      </w:r>
      <m:oMath>
        <m:d>
          <m:dPr>
            <m:ctrlPr>
              <w:rPr>
                <w:rFonts w:ascii="Cambria Math" w:hAnsi="Cambria Math"/>
                <w:i/>
              </w:rPr>
            </m:ctrlPr>
          </m:dPr>
          <m:e>
            <m:sSubSup>
              <m:sSubSupPr>
                <m:ctrlPr>
                  <w:rPr>
                    <w:rFonts w:ascii="Cambria Math" w:eastAsiaTheme="minorHAnsi" w:hAnsi="Cambria Math"/>
                    <w:i/>
                  </w:rPr>
                </m:ctrlPr>
              </m:sSubSupPr>
              <m:e>
                <m:r>
                  <w:rPr>
                    <w:rFonts w:ascii="Cambria Math" w:hAnsi="Cambria Math"/>
                  </w:rPr>
                  <m:t>t</m:t>
                </m:r>
              </m:e>
              <m:sub>
                <m:r>
                  <w:rPr>
                    <w:rFonts w:ascii="Cambria Math" w:hAnsi="Cambria Math"/>
                  </w:rPr>
                  <m:t>A</m:t>
                </m:r>
              </m:sub>
              <m:sup>
                <m:r>
                  <w:rPr>
                    <w:rFonts w:ascii="Cambria Math" w:hAnsi="Cambria Math"/>
                  </w:rPr>
                  <m:t>F</m:t>
                </m:r>
              </m:sup>
            </m:sSubSup>
            <m:r>
              <w:rPr>
                <w:rFonts w:ascii="Cambria Math" w:hAnsi="Cambria Math"/>
              </w:rPr>
              <m:t>-</m:t>
            </m:r>
            <m:sSubSup>
              <m:sSubSupPr>
                <m:ctrlPr>
                  <w:rPr>
                    <w:rFonts w:ascii="Cambria Math" w:eastAsiaTheme="minorHAnsi" w:hAnsi="Cambria Math"/>
                    <w:i/>
                  </w:rPr>
                </m:ctrlPr>
              </m:sSubSupPr>
              <m:e>
                <m:r>
                  <w:rPr>
                    <w:rFonts w:ascii="Cambria Math" w:hAnsi="Cambria Math"/>
                  </w:rPr>
                  <m:t>t</m:t>
                </m:r>
              </m:e>
              <m:sub>
                <m:r>
                  <w:rPr>
                    <w:rFonts w:ascii="Cambria Math" w:hAnsi="Cambria Math"/>
                  </w:rPr>
                  <m:t>B</m:t>
                </m:r>
              </m:sub>
              <m:sup>
                <m:r>
                  <w:rPr>
                    <w:rFonts w:ascii="Cambria Math" w:hAnsi="Cambria Math"/>
                  </w:rPr>
                  <m:t>F</m:t>
                </m:r>
              </m:sup>
            </m:sSubSup>
          </m:e>
        </m:d>
      </m:oMath>
      <w:r>
        <w:t>, that is, the larger the retaliatory tax</w:t>
      </w:r>
      <w:r w:rsidR="00C978AD">
        <w:t>.</w:t>
      </w:r>
    </w:p>
    <w:p w:rsidR="001941D5" w:rsidRPr="009667A2" w:rsidRDefault="00A5329F" w:rsidP="001941D5">
      <w:pPr>
        <w:spacing w:line="480" w:lineRule="auto"/>
        <w:ind w:right="1440" w:firstLine="720"/>
        <w:rPr>
          <w:rFonts w:eastAsiaTheme="minorEastAsia"/>
        </w:rPr>
      </w:pPr>
      <w:r>
        <w:rPr>
          <w:rFonts w:eastAsiaTheme="minorEastAsia"/>
        </w:rPr>
        <w:t>All of t</w:t>
      </w:r>
      <w:r w:rsidR="001941D5" w:rsidRPr="00E24579">
        <w:rPr>
          <w:rFonts w:eastAsiaTheme="minorEastAsia"/>
        </w:rPr>
        <w:t>he term</w:t>
      </w:r>
      <w:r>
        <w:rPr>
          <w:rFonts w:eastAsiaTheme="minorEastAsia"/>
        </w:rPr>
        <w:t>s</w:t>
      </w:r>
      <w:r w:rsidR="001941D5" w:rsidRPr="00E24579">
        <w:rPr>
          <w:rFonts w:eastAsiaTheme="minorEastAsia"/>
        </w:rPr>
        <w:t xml:space="preserve"> </w:t>
      </w:r>
      <w:r w:rsidR="00CC6859">
        <w:rPr>
          <w:rFonts w:eastAsiaTheme="minorEastAsia"/>
        </w:rPr>
        <w:t>in parentheses in</w:t>
      </w:r>
      <w:r w:rsidR="001941D5" w:rsidRPr="00E24579">
        <w:rPr>
          <w:rFonts w:eastAsiaTheme="minorEastAsia"/>
        </w:rPr>
        <w:t xml:space="preserve"> </w:t>
      </w:r>
      <w:r w:rsidR="001941D5">
        <w:rPr>
          <w:rFonts w:eastAsiaTheme="minorEastAsia"/>
        </w:rPr>
        <w:t>e</w:t>
      </w:r>
      <w:r>
        <w:rPr>
          <w:rFonts w:eastAsiaTheme="minorEastAsia"/>
        </w:rPr>
        <w:t>xpression 2</w:t>
      </w:r>
      <w:r w:rsidR="001941D5" w:rsidRPr="00E24579">
        <w:rPr>
          <w:rFonts w:eastAsiaTheme="minorEastAsia"/>
        </w:rPr>
        <w:t xml:space="preserve"> </w:t>
      </w:r>
      <w:r>
        <w:rPr>
          <w:rFonts w:eastAsiaTheme="minorEastAsia"/>
        </w:rPr>
        <w:t>are</w:t>
      </w:r>
      <w:r w:rsidR="001941D5" w:rsidRPr="00E24579">
        <w:rPr>
          <w:rFonts w:eastAsiaTheme="minorEastAsia"/>
        </w:rPr>
        <w:t xml:space="preserve"> positive</w:t>
      </w:r>
      <w:r>
        <w:rPr>
          <w:rFonts w:eastAsiaTheme="minorEastAsia"/>
        </w:rPr>
        <w:t xml:space="preserve"> given the assumption regarding the tax rates.</w:t>
      </w:r>
      <w:r w:rsidR="001941D5" w:rsidRPr="00E24579">
        <w:rPr>
          <w:rFonts w:eastAsiaTheme="minorEastAsia"/>
        </w:rPr>
        <w:t xml:space="preserve"> If </w:t>
      </w:r>
      <w:r w:rsidR="001941D5" w:rsidRPr="009667A2">
        <w:rPr>
          <w:rFonts w:eastAsiaTheme="minorEastAsia"/>
          <w:i/>
        </w:rPr>
        <w:t>P</w:t>
      </w:r>
      <w:r w:rsidR="001941D5" w:rsidRPr="009667A2">
        <w:rPr>
          <w:rFonts w:eastAsiaTheme="minorEastAsia"/>
          <w:i/>
          <w:vertAlign w:val="subscript"/>
        </w:rPr>
        <w:t xml:space="preserve">B  </w:t>
      </w:r>
      <w:r w:rsidR="001941D5" w:rsidRPr="008261B1">
        <w:rPr>
          <w:rFonts w:eastAsiaTheme="minorEastAsia"/>
        </w:rPr>
        <w:t>&gt;</w:t>
      </w:r>
      <w:r w:rsidR="001941D5" w:rsidRPr="009667A2">
        <w:rPr>
          <w:rFonts w:eastAsiaTheme="minorEastAsia"/>
          <w:i/>
        </w:rPr>
        <w:t xml:space="preserve"> P</w:t>
      </w:r>
      <w:r w:rsidR="001941D5" w:rsidRPr="009667A2">
        <w:rPr>
          <w:rFonts w:eastAsiaTheme="minorEastAsia"/>
          <w:i/>
          <w:vertAlign w:val="subscript"/>
        </w:rPr>
        <w:t>A</w:t>
      </w:r>
      <w:r w:rsidR="001941D5">
        <w:rPr>
          <w:rFonts w:eastAsiaTheme="minorEastAsia"/>
        </w:rPr>
        <w:t xml:space="preserve"> and if  intra-state tax rate difference in state </w:t>
      </w:r>
      <w:r w:rsidR="001941D5" w:rsidRPr="00B12F8D">
        <w:rPr>
          <w:rFonts w:eastAsiaTheme="minorEastAsia"/>
          <w:i/>
        </w:rPr>
        <w:t>A</w:t>
      </w:r>
      <w:r w:rsidR="001941D5">
        <w:rPr>
          <w:rFonts w:eastAsiaTheme="minorEastAsia"/>
        </w:rPr>
        <w:t xml:space="preserve"> is small as compared to the interstate difference in the foreign tax rates (which is the case in reality), then the firm should locate in state </w:t>
      </w:r>
      <w:r w:rsidR="001941D5" w:rsidRPr="00B12F8D">
        <w:rPr>
          <w:rFonts w:eastAsiaTheme="minorEastAsia"/>
          <w:i/>
        </w:rPr>
        <w:t>B</w:t>
      </w:r>
      <w:r w:rsidR="001941D5">
        <w:rPr>
          <w:rFonts w:eastAsiaTheme="minorEastAsia"/>
        </w:rPr>
        <w:t xml:space="preserve">.  But if </w:t>
      </w:r>
      <w:r w:rsidR="001941D5" w:rsidRPr="00836C3B">
        <w:rPr>
          <w:rFonts w:eastAsiaTheme="minorEastAsia"/>
          <w:i/>
        </w:rPr>
        <w:t>P</w:t>
      </w:r>
      <w:r w:rsidR="001941D5" w:rsidRPr="00836C3B">
        <w:rPr>
          <w:rFonts w:eastAsiaTheme="minorEastAsia"/>
          <w:i/>
          <w:vertAlign w:val="subscript"/>
        </w:rPr>
        <w:t>A</w:t>
      </w:r>
      <w:r w:rsidR="001941D5">
        <w:rPr>
          <w:rFonts w:eastAsiaTheme="minorEastAsia"/>
        </w:rPr>
        <w:t xml:space="preserve"> is larger than </w:t>
      </w:r>
      <w:r w:rsidR="001941D5" w:rsidRPr="00836C3B">
        <w:rPr>
          <w:rFonts w:eastAsiaTheme="minorEastAsia"/>
          <w:i/>
        </w:rPr>
        <w:t>P</w:t>
      </w:r>
      <w:r w:rsidR="001941D5" w:rsidRPr="00836C3B">
        <w:rPr>
          <w:rFonts w:eastAsiaTheme="minorEastAsia"/>
          <w:i/>
          <w:vertAlign w:val="subscript"/>
        </w:rPr>
        <w:t>B</w:t>
      </w:r>
      <w:r w:rsidR="001941D5">
        <w:rPr>
          <w:rFonts w:eastAsiaTheme="minorEastAsia"/>
        </w:rPr>
        <w:t xml:space="preserve">, then the firm would locate in state </w:t>
      </w:r>
      <w:r w:rsidR="001941D5" w:rsidRPr="00B1067E">
        <w:rPr>
          <w:rFonts w:eastAsiaTheme="minorEastAsia"/>
          <w:i/>
        </w:rPr>
        <w:t>A</w:t>
      </w:r>
      <w:r w:rsidR="001941D5">
        <w:rPr>
          <w:rFonts w:eastAsiaTheme="minorEastAsia"/>
        </w:rPr>
        <w:t xml:space="preserve"> if the </w:t>
      </w:r>
      <w:r>
        <w:rPr>
          <w:rFonts w:eastAsiaTheme="minorEastAsia"/>
        </w:rPr>
        <w:t>second</w:t>
      </w:r>
      <w:r w:rsidR="001941D5">
        <w:rPr>
          <w:rFonts w:eastAsiaTheme="minorEastAsia"/>
        </w:rPr>
        <w:t xml:space="preserve"> term in expression </w:t>
      </w:r>
      <w:r>
        <w:rPr>
          <w:rFonts w:eastAsiaTheme="minorEastAsia"/>
        </w:rPr>
        <w:t>2</w:t>
      </w:r>
      <w:r w:rsidR="001941D5">
        <w:rPr>
          <w:rFonts w:eastAsiaTheme="minorEastAsia"/>
        </w:rPr>
        <w:t xml:space="preserve"> is large enough</w:t>
      </w:r>
      <w:r w:rsidR="00487DDF">
        <w:rPr>
          <w:rFonts w:eastAsiaTheme="minorEastAsia"/>
        </w:rPr>
        <w:t xml:space="preserve"> to offset the </w:t>
      </w:r>
      <w:r>
        <w:rPr>
          <w:rFonts w:eastAsiaTheme="minorEastAsia"/>
        </w:rPr>
        <w:t>other</w:t>
      </w:r>
      <w:r w:rsidR="00487DDF">
        <w:rPr>
          <w:rFonts w:eastAsiaTheme="minorEastAsia"/>
        </w:rPr>
        <w:t xml:space="preserve"> two terms</w:t>
      </w:r>
      <w:r w:rsidR="001941D5">
        <w:rPr>
          <w:rFonts w:eastAsiaTheme="minorEastAsia"/>
        </w:rPr>
        <w:t xml:space="preserve">.  </w:t>
      </w:r>
      <w:r w:rsidR="00487DDF">
        <w:rPr>
          <w:rFonts w:eastAsiaTheme="minorEastAsia"/>
        </w:rPr>
        <w:t xml:space="preserve">This would require large values of </w:t>
      </w:r>
      <w:r w:rsidR="001941D5" w:rsidRPr="00BC1B29">
        <w:rPr>
          <w:rFonts w:eastAsiaTheme="minorEastAsia"/>
          <w:i/>
        </w:rPr>
        <w:t>P</w:t>
      </w:r>
      <w:r w:rsidR="001941D5" w:rsidRPr="00BC1B29">
        <w:rPr>
          <w:rFonts w:eastAsiaTheme="minorEastAsia"/>
          <w:i/>
          <w:vertAlign w:val="subscript"/>
        </w:rPr>
        <w:t>A</w:t>
      </w:r>
      <w:r w:rsidR="001941D5">
        <w:rPr>
          <w:rFonts w:eastAsiaTheme="minorEastAsia"/>
        </w:rPr>
        <w:t xml:space="preserve"> and/or </w:t>
      </w:r>
      <w:r w:rsidR="00487DDF">
        <w:rPr>
          <w:rFonts w:eastAsiaTheme="minorEastAsia"/>
        </w:rPr>
        <w:t xml:space="preserve">of </w:t>
      </w:r>
      <w:r w:rsidR="001941D5">
        <w:rPr>
          <w:rFonts w:eastAsiaTheme="minorEastAsia"/>
        </w:rPr>
        <w:t xml:space="preserve">the intra-state tax difference in state </w:t>
      </w:r>
      <w:r w:rsidR="001941D5" w:rsidRPr="00BC1B29">
        <w:rPr>
          <w:rFonts w:eastAsiaTheme="minorEastAsia"/>
          <w:i/>
        </w:rPr>
        <w:t>A</w:t>
      </w:r>
      <w:r w:rsidR="001941D5">
        <w:rPr>
          <w:rFonts w:eastAsiaTheme="minorEastAsia"/>
        </w:rPr>
        <w:t xml:space="preserve">.  </w:t>
      </w:r>
    </w:p>
    <w:p w:rsidR="004775D3" w:rsidRDefault="00674B95" w:rsidP="00FA418C">
      <w:pPr>
        <w:spacing w:line="480" w:lineRule="auto"/>
        <w:ind w:right="1440"/>
        <w:rPr>
          <w:rFonts w:eastAsiaTheme="minorEastAsia"/>
        </w:rPr>
      </w:pPr>
      <w:r>
        <w:tab/>
      </w:r>
      <w:r w:rsidR="000A6158">
        <w:t xml:space="preserve">If we consider state </w:t>
      </w:r>
      <w:r w:rsidR="00CA5F98" w:rsidRPr="0040446D">
        <w:rPr>
          <w:i/>
        </w:rPr>
        <w:t>A</w:t>
      </w:r>
      <w:r w:rsidR="00CA5F98">
        <w:t xml:space="preserve"> </w:t>
      </w:r>
      <w:r w:rsidR="005F1CE0">
        <w:t>to be</w:t>
      </w:r>
      <w:r w:rsidR="00CA5F98">
        <w:t xml:space="preserve"> a small state and state </w:t>
      </w:r>
      <w:r w:rsidR="00CA5F98" w:rsidRPr="0040446D">
        <w:rPr>
          <w:i/>
        </w:rPr>
        <w:t>B</w:t>
      </w:r>
      <w:r w:rsidR="00CA5F98">
        <w:t xml:space="preserve"> as </w:t>
      </w:r>
      <w:r w:rsidR="000E16EC">
        <w:t>repre</w:t>
      </w:r>
      <w:r w:rsidR="00FF28DE">
        <w:t xml:space="preserve">sentative of </w:t>
      </w:r>
      <w:r w:rsidR="00CA5F98">
        <w:t>the rest of the U.S.,</w:t>
      </w:r>
      <w:r>
        <w:t xml:space="preserve"> </w:t>
      </w:r>
      <w:r w:rsidR="00500013">
        <w:t>e</w:t>
      </w:r>
      <w:r w:rsidR="001941D5">
        <w:t>xpression</w:t>
      </w:r>
      <w:r w:rsidR="00380887">
        <w:t xml:space="preserve"> </w:t>
      </w:r>
      <w:r w:rsidR="00A5329F">
        <w:t>2</w:t>
      </w:r>
      <w:r w:rsidR="00CA5F98">
        <w:t xml:space="preserve"> implies that a firm that sells to the entire U.S. would locate in state </w:t>
      </w:r>
      <w:r w:rsidR="004615F9" w:rsidRPr="00B1067E">
        <w:rPr>
          <w:i/>
        </w:rPr>
        <w:t>B</w:t>
      </w:r>
      <w:r w:rsidR="00CA5F98">
        <w:t xml:space="preserve">, while a firm that </w:t>
      </w:r>
      <w:r w:rsidR="004F3189">
        <w:t xml:space="preserve">writes </w:t>
      </w:r>
      <w:r w:rsidR="00CA5F98">
        <w:t xml:space="preserve">policies mainly in state </w:t>
      </w:r>
      <w:r w:rsidR="004615F9" w:rsidRPr="00B1067E">
        <w:rPr>
          <w:i/>
        </w:rPr>
        <w:t>A</w:t>
      </w:r>
      <w:r w:rsidR="00CA5F98">
        <w:t xml:space="preserve"> would locate in state </w:t>
      </w:r>
      <w:r w:rsidR="004615F9" w:rsidRPr="00B1067E">
        <w:rPr>
          <w:i/>
        </w:rPr>
        <w:t>A</w:t>
      </w:r>
      <w:r w:rsidR="00CA5F98">
        <w:t xml:space="preserve">.  This </w:t>
      </w:r>
      <w:r w:rsidR="00A5329F">
        <w:t>infers</w:t>
      </w:r>
      <w:r w:rsidR="00CA5F98">
        <w:t xml:space="preserve"> that </w:t>
      </w:r>
      <w:r w:rsidR="00E02F8E">
        <w:t xml:space="preserve">we should expect that </w:t>
      </w:r>
      <w:r w:rsidR="00CA5F98">
        <w:t xml:space="preserve">most </w:t>
      </w:r>
      <w:r w:rsidR="00500013">
        <w:t>insurance</w:t>
      </w:r>
      <w:r w:rsidR="00CA5F98">
        <w:t xml:space="preserve"> firms would locate in the state with the lowest foreign tax rate among the states in which it sells policies. </w:t>
      </w:r>
      <w:r w:rsidR="00E02F8E">
        <w:t xml:space="preserve"> However, i</w:t>
      </w:r>
      <w:r w:rsidR="00CA5F98">
        <w:t xml:space="preserve">f a state has a domestic tax rate that is lower than its foreign tax rate, </w:t>
      </w:r>
      <w:r w:rsidR="00FF28DE">
        <w:t>we would</w:t>
      </w:r>
      <w:r w:rsidR="00CA5F98">
        <w:t xml:space="preserve"> </w:t>
      </w:r>
      <w:r w:rsidR="00E02F8E">
        <w:t xml:space="preserve">expect that </w:t>
      </w:r>
      <w:r w:rsidR="00FF28DE">
        <w:t>the state</w:t>
      </w:r>
      <w:r w:rsidR="00E02F8E">
        <w:t xml:space="preserve"> </w:t>
      </w:r>
      <w:r w:rsidR="00CA5F98">
        <w:t>w</w:t>
      </w:r>
      <w:r w:rsidR="00FF28DE">
        <w:t>ould</w:t>
      </w:r>
      <w:r w:rsidR="00CA5F98">
        <w:t xml:space="preserve"> attract some firms that write policies relatively heavily in that state.  This implies the following hypothesis: the size of the industry in a state will be larger the smaller</w:t>
      </w:r>
      <w:r w:rsidR="00EB3836">
        <w:t xml:space="preserve"> </w:t>
      </w:r>
      <w:r w:rsidR="00EB6FFD">
        <w:t>the</w:t>
      </w:r>
      <w:r w:rsidR="00CA5F98">
        <w:t xml:space="preserve"> foreign tax rate and the greater the difference between its foreign </w:t>
      </w:r>
      <w:r w:rsidR="00EB3836">
        <w:t xml:space="preserve">and domestic </w:t>
      </w:r>
      <w:r w:rsidR="00CA5F98">
        <w:t>tax rates.</w:t>
      </w:r>
      <w:r>
        <w:rPr>
          <w:rFonts w:eastAsiaTheme="minorEastAsia"/>
        </w:rPr>
        <w:t xml:space="preserve"> In practice, the within state tax differentials are usually zero or very small, which suggests that the effect of the typical tax differential on location decisions will be small.  Thus, we expect the between-state differentials in the foreign tax rate will have the larger influence on the location decision. </w:t>
      </w:r>
    </w:p>
    <w:p w:rsidR="00380887" w:rsidRDefault="00380887" w:rsidP="00FA418C">
      <w:pPr>
        <w:spacing w:line="480" w:lineRule="auto"/>
        <w:ind w:right="1440"/>
      </w:pPr>
      <w:r>
        <w:lastRenderedPageBreak/>
        <w:tab/>
        <w:t>In th</w:t>
      </w:r>
      <w:r w:rsidR="005F1CE0">
        <w:t>e above</w:t>
      </w:r>
      <w:r>
        <w:t xml:space="preserve"> example we assum</w:t>
      </w:r>
      <w:r w:rsidR="00500013">
        <w:t>ed</w:t>
      </w:r>
      <w:r>
        <w:t xml:space="preserve"> that the total volum</w:t>
      </w:r>
      <w:r w:rsidR="00FE750D">
        <w:t>e</w:t>
      </w:r>
      <w:r>
        <w:t xml:space="preserve"> of premiums written is independent of the tax rate.  </w:t>
      </w:r>
      <w:r w:rsidR="001A526B">
        <w:t xml:space="preserve">However, </w:t>
      </w:r>
      <w:r w:rsidR="00FE750D">
        <w:t>allowing for the volume of premiums written to be dependent on the tax rate</w:t>
      </w:r>
      <w:r w:rsidR="00FF28DE">
        <w:t>, and assuming the responsiveness to the tax does not differ by state,</w:t>
      </w:r>
      <w:r w:rsidR="00FE750D">
        <w:t xml:space="preserve"> </w:t>
      </w:r>
      <w:r w:rsidR="004F3189">
        <w:t xml:space="preserve">does </w:t>
      </w:r>
      <w:r w:rsidR="00FE750D">
        <w:t xml:space="preserve">not change the basic conclusion. </w:t>
      </w:r>
    </w:p>
    <w:p w:rsidR="00AC70AE" w:rsidRDefault="00CA5F98" w:rsidP="00FA418C">
      <w:pPr>
        <w:spacing w:line="480" w:lineRule="auto"/>
        <w:ind w:right="1440"/>
        <w:rPr>
          <w:rFonts w:eastAsiaTheme="minorEastAsia"/>
        </w:rPr>
      </w:pPr>
      <w:r>
        <w:tab/>
      </w:r>
      <w:r w:rsidR="00E02F8E">
        <w:rPr>
          <w:rFonts w:eastAsiaTheme="minorEastAsia"/>
        </w:rPr>
        <w:t xml:space="preserve">While the above framework suggests that the size of the insurance industry </w:t>
      </w:r>
      <w:r w:rsidR="004F3189">
        <w:rPr>
          <w:rFonts w:eastAsiaTheme="minorEastAsia"/>
        </w:rPr>
        <w:t>is</w:t>
      </w:r>
      <w:r w:rsidR="00E02F8E">
        <w:rPr>
          <w:rFonts w:eastAsiaTheme="minorEastAsia"/>
        </w:rPr>
        <w:t xml:space="preserve"> negatively related to the foreign tax rate, it is possible that the effect could be zero.  </w:t>
      </w:r>
      <w:r w:rsidR="00B13C89">
        <w:rPr>
          <w:rFonts w:eastAsiaTheme="minorEastAsia"/>
        </w:rPr>
        <w:t>The p</w:t>
      </w:r>
      <w:r w:rsidR="00AC70AE">
        <w:rPr>
          <w:rFonts w:eastAsiaTheme="minorEastAsia"/>
        </w:rPr>
        <w:t xml:space="preserve">remium for </w:t>
      </w:r>
      <w:r w:rsidR="00B13C89">
        <w:rPr>
          <w:rFonts w:eastAsiaTheme="minorEastAsia"/>
        </w:rPr>
        <w:t xml:space="preserve">a </w:t>
      </w:r>
      <w:r w:rsidR="00AC70AE">
        <w:rPr>
          <w:rFonts w:eastAsiaTheme="minorEastAsia"/>
        </w:rPr>
        <w:t xml:space="preserve">property-casualty insurance </w:t>
      </w:r>
      <w:r w:rsidR="00B13C89">
        <w:rPr>
          <w:rFonts w:eastAsiaTheme="minorEastAsia"/>
        </w:rPr>
        <w:t xml:space="preserve">policy </w:t>
      </w:r>
      <w:r w:rsidR="00AC70AE">
        <w:rPr>
          <w:rFonts w:eastAsiaTheme="minorEastAsia"/>
        </w:rPr>
        <w:t xml:space="preserve">will </w:t>
      </w:r>
      <w:r w:rsidR="006D2808">
        <w:rPr>
          <w:rFonts w:eastAsiaTheme="minorEastAsia"/>
        </w:rPr>
        <w:t xml:space="preserve">likely </w:t>
      </w:r>
      <w:r w:rsidR="00AC70AE">
        <w:rPr>
          <w:rFonts w:eastAsiaTheme="minorEastAsia"/>
        </w:rPr>
        <w:t>differ across jurisdictions based on differen</w:t>
      </w:r>
      <w:r w:rsidR="006D2808">
        <w:rPr>
          <w:rFonts w:eastAsiaTheme="minorEastAsia"/>
        </w:rPr>
        <w:t xml:space="preserve">ces in </w:t>
      </w:r>
      <w:r w:rsidR="00AC70AE">
        <w:rPr>
          <w:rFonts w:eastAsiaTheme="minorEastAsia"/>
        </w:rPr>
        <w:t xml:space="preserve">the risk </w:t>
      </w:r>
      <w:r w:rsidR="006D2808">
        <w:rPr>
          <w:rFonts w:eastAsiaTheme="minorEastAsia"/>
        </w:rPr>
        <w:t>that have to be covered.</w:t>
      </w:r>
      <w:r w:rsidR="00AC70AE">
        <w:rPr>
          <w:rFonts w:eastAsiaTheme="minorEastAsia"/>
        </w:rPr>
        <w:t xml:space="preserve">  But within a jurisdiction </w:t>
      </w:r>
      <w:r w:rsidR="000D163A">
        <w:rPr>
          <w:rFonts w:eastAsiaTheme="minorEastAsia"/>
        </w:rPr>
        <w:t>if</w:t>
      </w:r>
      <w:r w:rsidR="006D2808">
        <w:rPr>
          <w:rFonts w:eastAsiaTheme="minorEastAsia"/>
        </w:rPr>
        <w:t xml:space="preserve"> the </w:t>
      </w:r>
      <w:r w:rsidR="00AC70AE">
        <w:rPr>
          <w:rFonts w:eastAsiaTheme="minorEastAsia"/>
        </w:rPr>
        <w:t xml:space="preserve">property-casualty </w:t>
      </w:r>
      <w:r w:rsidR="006D2808">
        <w:rPr>
          <w:rFonts w:eastAsiaTheme="minorEastAsia"/>
        </w:rPr>
        <w:t xml:space="preserve">industry </w:t>
      </w:r>
      <w:r w:rsidR="00AC70AE">
        <w:rPr>
          <w:rFonts w:eastAsiaTheme="minorEastAsia"/>
        </w:rPr>
        <w:t>is competitive</w:t>
      </w:r>
      <w:r w:rsidR="006D2808">
        <w:rPr>
          <w:rFonts w:eastAsiaTheme="minorEastAsia"/>
        </w:rPr>
        <w:t>,</w:t>
      </w:r>
      <w:r w:rsidR="00AC70AE">
        <w:rPr>
          <w:rFonts w:eastAsiaTheme="minorEastAsia"/>
        </w:rPr>
        <w:t xml:space="preserve"> </w:t>
      </w:r>
      <w:r w:rsidR="000D163A">
        <w:rPr>
          <w:rFonts w:eastAsiaTheme="minorEastAsia"/>
        </w:rPr>
        <w:t xml:space="preserve">meaning </w:t>
      </w:r>
      <w:r w:rsidR="00AC70AE">
        <w:rPr>
          <w:rFonts w:eastAsiaTheme="minorEastAsia"/>
        </w:rPr>
        <w:t xml:space="preserve">there is one price in </w:t>
      </w:r>
      <w:r w:rsidR="00A5329F">
        <w:rPr>
          <w:rFonts w:eastAsiaTheme="minorEastAsia"/>
        </w:rPr>
        <w:t>the</w:t>
      </w:r>
      <w:r w:rsidR="00AC70AE">
        <w:rPr>
          <w:rFonts w:eastAsiaTheme="minorEastAsia"/>
        </w:rPr>
        <w:t xml:space="preserve"> market</w:t>
      </w:r>
      <w:r w:rsidR="000D163A">
        <w:rPr>
          <w:rFonts w:eastAsiaTheme="minorEastAsia"/>
        </w:rPr>
        <w:t>, then</w:t>
      </w:r>
      <w:r w:rsidR="006D2808">
        <w:rPr>
          <w:rFonts w:eastAsiaTheme="minorEastAsia"/>
        </w:rPr>
        <w:t xml:space="preserve"> a firm fac</w:t>
      </w:r>
      <w:r w:rsidR="000D163A">
        <w:rPr>
          <w:rFonts w:eastAsiaTheme="minorEastAsia"/>
        </w:rPr>
        <w:t>ing</w:t>
      </w:r>
      <w:r w:rsidR="006D2808">
        <w:rPr>
          <w:rFonts w:eastAsiaTheme="minorEastAsia"/>
        </w:rPr>
        <w:t xml:space="preserve"> a higher tax rate in a jurisdiction because of the retaliatory tax will have a lower net return.  However, if </w:t>
      </w:r>
      <w:r w:rsidR="00FE750D">
        <w:rPr>
          <w:rFonts w:eastAsiaTheme="minorEastAsia"/>
        </w:rPr>
        <w:t xml:space="preserve">individual </w:t>
      </w:r>
      <w:r w:rsidR="006D2808">
        <w:rPr>
          <w:rFonts w:eastAsiaTheme="minorEastAsia"/>
        </w:rPr>
        <w:t>property-casualty firms have substantial monopoly power and demand i</w:t>
      </w:r>
      <w:r w:rsidR="009241EE">
        <w:rPr>
          <w:rFonts w:eastAsiaTheme="minorEastAsia"/>
        </w:rPr>
        <w:t>s</w:t>
      </w:r>
      <w:r w:rsidR="006D2808">
        <w:rPr>
          <w:rFonts w:eastAsiaTheme="minorEastAsia"/>
        </w:rPr>
        <w:t xml:space="preserve"> inelastic, then much of the </w:t>
      </w:r>
      <w:r w:rsidR="005854C5">
        <w:rPr>
          <w:rFonts w:eastAsiaTheme="minorEastAsia"/>
        </w:rPr>
        <w:t xml:space="preserve">relatively </w:t>
      </w:r>
      <w:r w:rsidR="006D2808">
        <w:rPr>
          <w:rFonts w:eastAsiaTheme="minorEastAsia"/>
        </w:rPr>
        <w:t xml:space="preserve">higher tax rate </w:t>
      </w:r>
      <w:r w:rsidR="00500013">
        <w:rPr>
          <w:rFonts w:eastAsiaTheme="minorEastAsia"/>
        </w:rPr>
        <w:t>resulting from locating</w:t>
      </w:r>
      <w:r w:rsidR="005854C5">
        <w:rPr>
          <w:rFonts w:eastAsiaTheme="minorEastAsia"/>
        </w:rPr>
        <w:t xml:space="preserve"> in a state with a high foreign tax rate </w:t>
      </w:r>
      <w:r w:rsidR="006D2808">
        <w:rPr>
          <w:rFonts w:eastAsiaTheme="minorEastAsia"/>
        </w:rPr>
        <w:t xml:space="preserve">could be offset by increases in </w:t>
      </w:r>
      <w:r w:rsidR="00500013">
        <w:rPr>
          <w:rFonts w:eastAsiaTheme="minorEastAsia"/>
        </w:rPr>
        <w:t>its</w:t>
      </w:r>
      <w:r w:rsidR="006D2808">
        <w:rPr>
          <w:rFonts w:eastAsiaTheme="minorEastAsia"/>
        </w:rPr>
        <w:t xml:space="preserve"> premium.  In that case, interstate tax differentials </w:t>
      </w:r>
      <w:r w:rsidR="00E02F8E">
        <w:rPr>
          <w:rFonts w:eastAsiaTheme="minorEastAsia"/>
        </w:rPr>
        <w:t>may</w:t>
      </w:r>
      <w:r w:rsidR="006D2808">
        <w:rPr>
          <w:rFonts w:eastAsiaTheme="minorEastAsia"/>
        </w:rPr>
        <w:t xml:space="preserve"> have little effect on the location of property-casualty firms. </w:t>
      </w:r>
      <w:r w:rsidR="00386E47">
        <w:rPr>
          <w:rFonts w:eastAsiaTheme="minorEastAsia"/>
        </w:rPr>
        <w:t xml:space="preserve"> </w:t>
      </w:r>
      <w:r w:rsidR="00996C77">
        <w:rPr>
          <w:rFonts w:eastAsiaTheme="minorEastAsia"/>
        </w:rPr>
        <w:t>We calculate</w:t>
      </w:r>
      <w:r w:rsidR="00C978AD">
        <w:rPr>
          <w:rFonts w:eastAsiaTheme="minorEastAsia"/>
        </w:rPr>
        <w:t>d</w:t>
      </w:r>
      <w:r w:rsidR="00996C77">
        <w:rPr>
          <w:rFonts w:eastAsiaTheme="minorEastAsia"/>
        </w:rPr>
        <w:t xml:space="preserve"> a </w:t>
      </w:r>
      <w:proofErr w:type="spellStart"/>
      <w:r w:rsidR="00996C77">
        <w:rPr>
          <w:rFonts w:eastAsiaTheme="minorEastAsia"/>
        </w:rPr>
        <w:t>Herfinda</w:t>
      </w:r>
      <w:r w:rsidR="007E28EF">
        <w:rPr>
          <w:rFonts w:eastAsiaTheme="minorEastAsia"/>
        </w:rPr>
        <w:t>h</w:t>
      </w:r>
      <w:r w:rsidR="00996C77">
        <w:rPr>
          <w:rFonts w:eastAsiaTheme="minorEastAsia"/>
        </w:rPr>
        <w:t>l</w:t>
      </w:r>
      <w:proofErr w:type="spellEnd"/>
      <w:r w:rsidR="00996C77">
        <w:rPr>
          <w:rFonts w:eastAsiaTheme="minorEastAsia"/>
        </w:rPr>
        <w:t xml:space="preserve"> index for each state and f</w:t>
      </w:r>
      <w:r w:rsidR="00C978AD">
        <w:rPr>
          <w:rFonts w:eastAsiaTheme="minorEastAsia"/>
        </w:rPr>
        <w:t>ind</w:t>
      </w:r>
      <w:r w:rsidR="00996C77">
        <w:rPr>
          <w:rFonts w:eastAsiaTheme="minorEastAsia"/>
        </w:rPr>
        <w:t xml:space="preserve"> that the industry is not concentrated; the values of the indices range from </w:t>
      </w:r>
      <w:r w:rsidR="000E4D86">
        <w:rPr>
          <w:rFonts w:eastAsiaTheme="minorEastAsia"/>
        </w:rPr>
        <w:t>0.009 to 0.084</w:t>
      </w:r>
      <w:r w:rsidR="00996C77">
        <w:rPr>
          <w:rFonts w:eastAsiaTheme="minorEastAsia"/>
        </w:rPr>
        <w:t xml:space="preserve">. </w:t>
      </w:r>
    </w:p>
    <w:p w:rsidR="000E26C3" w:rsidRDefault="00154D46" w:rsidP="00FA418C">
      <w:pPr>
        <w:spacing w:line="480" w:lineRule="auto"/>
        <w:ind w:right="1440"/>
        <w:rPr>
          <w:rFonts w:eastAsiaTheme="minorEastAsia"/>
        </w:rPr>
      </w:pPr>
      <w:r>
        <w:rPr>
          <w:rFonts w:eastAsiaTheme="minorEastAsia"/>
        </w:rPr>
        <w:tab/>
      </w:r>
      <w:r w:rsidR="004C13C3">
        <w:rPr>
          <w:rFonts w:eastAsiaTheme="minorEastAsia"/>
        </w:rPr>
        <w:t>While we measure the size of the industry in several ways, we are primarily interested in the effect of the tax on the number of employees</w:t>
      </w:r>
      <w:r w:rsidR="00405934">
        <w:rPr>
          <w:rFonts w:eastAsiaTheme="minorEastAsia"/>
        </w:rPr>
        <w:t xml:space="preserve"> associated with the presence of an insurance company</w:t>
      </w:r>
      <w:r w:rsidR="00996C77">
        <w:rPr>
          <w:rFonts w:eastAsiaTheme="minorEastAsia"/>
        </w:rPr>
        <w:t xml:space="preserve"> headquarter</w:t>
      </w:r>
      <w:r w:rsidR="004C13C3">
        <w:rPr>
          <w:rFonts w:eastAsiaTheme="minorEastAsia"/>
        </w:rPr>
        <w:t xml:space="preserve">.  The </w:t>
      </w:r>
      <w:r w:rsidR="00A5329F">
        <w:rPr>
          <w:rFonts w:eastAsiaTheme="minorEastAsia"/>
        </w:rPr>
        <w:t xml:space="preserve">policy </w:t>
      </w:r>
      <w:r w:rsidR="004C13C3">
        <w:rPr>
          <w:rFonts w:eastAsiaTheme="minorEastAsia"/>
        </w:rPr>
        <w:t>question that states are likely to be most interested in concerns the effect of the tax rate on employment, not just the number of firms domiciled in the state</w:t>
      </w:r>
      <w:r w:rsidR="00405934">
        <w:rPr>
          <w:rFonts w:eastAsiaTheme="minorEastAsia"/>
        </w:rPr>
        <w:t xml:space="preserve"> since the princip</w:t>
      </w:r>
      <w:r w:rsidR="00BE24EB">
        <w:rPr>
          <w:rFonts w:eastAsiaTheme="minorEastAsia"/>
        </w:rPr>
        <w:t>a</w:t>
      </w:r>
      <w:r w:rsidR="00405934">
        <w:rPr>
          <w:rFonts w:eastAsiaTheme="minorEastAsia"/>
        </w:rPr>
        <w:t>l economic development goal for states is assumed to be</w:t>
      </w:r>
      <w:r w:rsidR="00BE24EB">
        <w:rPr>
          <w:rFonts w:eastAsiaTheme="minorEastAsia"/>
        </w:rPr>
        <w:t xml:space="preserve"> increased</w:t>
      </w:r>
      <w:r w:rsidR="00405934">
        <w:rPr>
          <w:rFonts w:eastAsiaTheme="minorEastAsia"/>
        </w:rPr>
        <w:t xml:space="preserve"> employment</w:t>
      </w:r>
      <w:r w:rsidR="000D163A">
        <w:rPr>
          <w:rFonts w:eastAsiaTheme="minorEastAsia"/>
        </w:rPr>
        <w:t>.</w:t>
      </w:r>
      <w:r w:rsidR="004C13C3" w:rsidRPr="00FF28DE">
        <w:rPr>
          <w:rFonts w:eastAsiaTheme="minorEastAsia"/>
        </w:rPr>
        <w:t xml:space="preserve"> </w:t>
      </w:r>
      <w:r w:rsidR="004C13C3">
        <w:rPr>
          <w:rFonts w:eastAsiaTheme="minorEastAsia"/>
        </w:rPr>
        <w:t xml:space="preserve"> </w:t>
      </w:r>
      <w:r w:rsidR="005854C5">
        <w:rPr>
          <w:rFonts w:eastAsiaTheme="minorEastAsia"/>
        </w:rPr>
        <w:t xml:space="preserve">We assume that employment in a state is directly associated with the </w:t>
      </w:r>
      <w:r w:rsidR="004C13C3">
        <w:rPr>
          <w:rFonts w:eastAsiaTheme="minorEastAsia"/>
        </w:rPr>
        <w:t xml:space="preserve">location of insurance </w:t>
      </w:r>
      <w:r w:rsidR="005854C5">
        <w:rPr>
          <w:rFonts w:eastAsiaTheme="minorEastAsia"/>
        </w:rPr>
        <w:t>firm</w:t>
      </w:r>
      <w:r w:rsidR="004C13C3">
        <w:rPr>
          <w:rFonts w:eastAsiaTheme="minorEastAsia"/>
        </w:rPr>
        <w:t>s</w:t>
      </w:r>
      <w:r w:rsidR="005854C5">
        <w:rPr>
          <w:rFonts w:eastAsiaTheme="minorEastAsia"/>
        </w:rPr>
        <w:t xml:space="preserve"> in that state.  However, a</w:t>
      </w:r>
      <w:r>
        <w:rPr>
          <w:rFonts w:eastAsiaTheme="minorEastAsia"/>
        </w:rPr>
        <w:t xml:space="preserve"> firm domiciled in one state could </w:t>
      </w:r>
      <w:r w:rsidR="006D2808">
        <w:rPr>
          <w:rFonts w:eastAsiaTheme="minorEastAsia"/>
        </w:rPr>
        <w:t>potentially locate</w:t>
      </w:r>
      <w:r>
        <w:rPr>
          <w:rFonts w:eastAsiaTheme="minorEastAsia"/>
        </w:rPr>
        <w:t xml:space="preserve"> its employees in another state.  </w:t>
      </w:r>
      <w:r w:rsidR="005854C5">
        <w:rPr>
          <w:rFonts w:eastAsiaTheme="minorEastAsia"/>
        </w:rPr>
        <w:t xml:space="preserve">If this is a common practice we would expect to find more insurance companies </w:t>
      </w:r>
      <w:r w:rsidR="00500013">
        <w:rPr>
          <w:rFonts w:eastAsiaTheme="minorEastAsia"/>
        </w:rPr>
        <w:lastRenderedPageBreak/>
        <w:t xml:space="preserve">domiciled </w:t>
      </w:r>
      <w:r w:rsidR="005854C5">
        <w:rPr>
          <w:rFonts w:eastAsiaTheme="minorEastAsia"/>
        </w:rPr>
        <w:t xml:space="preserve">in states </w:t>
      </w:r>
      <w:r w:rsidR="00500013">
        <w:rPr>
          <w:rFonts w:eastAsiaTheme="minorEastAsia"/>
        </w:rPr>
        <w:t>with</w:t>
      </w:r>
      <w:r w:rsidR="005854C5">
        <w:rPr>
          <w:rFonts w:eastAsiaTheme="minorEastAsia"/>
        </w:rPr>
        <w:t xml:space="preserve"> low</w:t>
      </w:r>
      <w:r w:rsidR="00500013">
        <w:rPr>
          <w:rFonts w:eastAsiaTheme="minorEastAsia"/>
        </w:rPr>
        <w:t>er</w:t>
      </w:r>
      <w:r w:rsidR="005854C5">
        <w:rPr>
          <w:rFonts w:eastAsiaTheme="minorEastAsia"/>
        </w:rPr>
        <w:t xml:space="preserve"> foreign tax rate</w:t>
      </w:r>
      <w:r w:rsidR="00500013">
        <w:rPr>
          <w:rFonts w:eastAsiaTheme="minorEastAsia"/>
        </w:rPr>
        <w:t>s</w:t>
      </w:r>
      <w:r w:rsidR="005854C5">
        <w:rPr>
          <w:rFonts w:eastAsiaTheme="minorEastAsia"/>
        </w:rPr>
        <w:t xml:space="preserve">, but </w:t>
      </w:r>
      <w:r w:rsidR="00660AC6">
        <w:rPr>
          <w:rFonts w:eastAsiaTheme="minorEastAsia"/>
        </w:rPr>
        <w:t xml:space="preserve">with </w:t>
      </w:r>
      <w:r w:rsidR="005854C5">
        <w:rPr>
          <w:rFonts w:eastAsiaTheme="minorEastAsia"/>
        </w:rPr>
        <w:t>possibl</w:t>
      </w:r>
      <w:r w:rsidR="009241EE">
        <w:rPr>
          <w:rFonts w:eastAsiaTheme="minorEastAsia"/>
        </w:rPr>
        <w:t>y</w:t>
      </w:r>
      <w:r w:rsidR="005854C5">
        <w:rPr>
          <w:rFonts w:eastAsiaTheme="minorEastAsia"/>
        </w:rPr>
        <w:t xml:space="preserve"> no effect </w:t>
      </w:r>
      <w:r w:rsidR="00500013">
        <w:rPr>
          <w:rFonts w:eastAsiaTheme="minorEastAsia"/>
        </w:rPr>
        <w:t xml:space="preserve">of the lower tax rate </w:t>
      </w:r>
      <w:r w:rsidR="005854C5">
        <w:rPr>
          <w:rFonts w:eastAsiaTheme="minorEastAsia"/>
        </w:rPr>
        <w:t xml:space="preserve">on employment.  </w:t>
      </w:r>
    </w:p>
    <w:p w:rsidR="00154D46" w:rsidRDefault="00AC70AE" w:rsidP="00FA418C">
      <w:pPr>
        <w:spacing w:line="480" w:lineRule="auto"/>
        <w:ind w:right="1440"/>
        <w:rPr>
          <w:rFonts w:eastAsiaTheme="minorEastAsia"/>
        </w:rPr>
      </w:pPr>
      <w:r>
        <w:rPr>
          <w:rFonts w:eastAsiaTheme="minorEastAsia"/>
        </w:rPr>
        <w:tab/>
      </w:r>
      <w:r w:rsidR="00500013">
        <w:rPr>
          <w:rFonts w:eastAsiaTheme="minorEastAsia"/>
        </w:rPr>
        <w:t>In summary, i</w:t>
      </w:r>
      <w:r w:rsidR="006D2808">
        <w:rPr>
          <w:rFonts w:eastAsiaTheme="minorEastAsia"/>
        </w:rPr>
        <w:t xml:space="preserve">f a firm’s employment is tied to where it is domiciled and if the market for property-casualty insurance is competitive, then we expect </w:t>
      </w:r>
      <w:r w:rsidR="00926BD0">
        <w:rPr>
          <w:rFonts w:eastAsiaTheme="minorEastAsia"/>
        </w:rPr>
        <w:t>to</w:t>
      </w:r>
      <w:r w:rsidR="006D2808">
        <w:rPr>
          <w:rFonts w:eastAsiaTheme="minorEastAsia"/>
        </w:rPr>
        <w:t xml:space="preserve"> find </w:t>
      </w:r>
      <w:r w:rsidR="00500013">
        <w:rPr>
          <w:rFonts w:eastAsiaTheme="minorEastAsia"/>
        </w:rPr>
        <w:t>greater</w:t>
      </w:r>
      <w:r w:rsidR="006D2808">
        <w:rPr>
          <w:rFonts w:eastAsiaTheme="minorEastAsia"/>
        </w:rPr>
        <w:t xml:space="preserve"> employment </w:t>
      </w:r>
      <w:r w:rsidR="009241EE">
        <w:rPr>
          <w:rFonts w:eastAsiaTheme="minorEastAsia"/>
        </w:rPr>
        <w:t>in states with</w:t>
      </w:r>
      <w:r w:rsidR="006D2808">
        <w:rPr>
          <w:rFonts w:eastAsiaTheme="minorEastAsia"/>
        </w:rPr>
        <w:t xml:space="preserve"> </w:t>
      </w:r>
      <w:r w:rsidR="00FE750D">
        <w:rPr>
          <w:rFonts w:eastAsiaTheme="minorEastAsia"/>
        </w:rPr>
        <w:t>lower</w:t>
      </w:r>
      <w:r w:rsidR="006D2808">
        <w:rPr>
          <w:rFonts w:eastAsiaTheme="minorEastAsia"/>
        </w:rPr>
        <w:t xml:space="preserve"> </w:t>
      </w:r>
      <w:r w:rsidR="009241EE">
        <w:rPr>
          <w:rFonts w:eastAsiaTheme="minorEastAsia"/>
        </w:rPr>
        <w:t xml:space="preserve">foreign </w:t>
      </w:r>
      <w:r w:rsidR="00C1646F">
        <w:rPr>
          <w:rFonts w:eastAsiaTheme="minorEastAsia"/>
        </w:rPr>
        <w:t>insurance premium tax rate</w:t>
      </w:r>
      <w:r w:rsidR="000E26C3">
        <w:rPr>
          <w:rFonts w:eastAsiaTheme="minorEastAsia"/>
        </w:rPr>
        <w:t>s</w:t>
      </w:r>
      <w:r w:rsidR="00FE750D">
        <w:rPr>
          <w:rFonts w:eastAsiaTheme="minorEastAsia"/>
        </w:rPr>
        <w:t xml:space="preserve"> </w:t>
      </w:r>
      <w:r w:rsidR="00500013">
        <w:rPr>
          <w:rFonts w:eastAsiaTheme="minorEastAsia"/>
        </w:rPr>
        <w:t xml:space="preserve">and </w:t>
      </w:r>
      <w:r w:rsidR="009241EE">
        <w:rPr>
          <w:rFonts w:eastAsiaTheme="minorEastAsia"/>
        </w:rPr>
        <w:t>with</w:t>
      </w:r>
      <w:r w:rsidR="00FE750D">
        <w:rPr>
          <w:rFonts w:eastAsiaTheme="minorEastAsia"/>
        </w:rPr>
        <w:t xml:space="preserve"> larger difference</w:t>
      </w:r>
      <w:r w:rsidR="009241EE">
        <w:rPr>
          <w:rFonts w:eastAsiaTheme="minorEastAsia"/>
        </w:rPr>
        <w:t>s</w:t>
      </w:r>
      <w:r w:rsidR="00FE750D">
        <w:rPr>
          <w:rFonts w:eastAsiaTheme="minorEastAsia"/>
        </w:rPr>
        <w:t xml:space="preserve"> </w:t>
      </w:r>
      <w:r w:rsidR="000E16EC">
        <w:rPr>
          <w:rFonts w:eastAsiaTheme="minorEastAsia"/>
        </w:rPr>
        <w:t>between</w:t>
      </w:r>
      <w:r w:rsidR="00FE750D">
        <w:rPr>
          <w:rFonts w:eastAsiaTheme="minorEastAsia"/>
        </w:rPr>
        <w:t xml:space="preserve"> the foreign and domestic tax rates</w:t>
      </w:r>
      <w:r w:rsidR="00C1646F">
        <w:rPr>
          <w:rFonts w:eastAsiaTheme="minorEastAsia"/>
        </w:rPr>
        <w:t xml:space="preserve">.  But, if those conditions are not met, then employment may not be affected by tax rate differentials.   </w:t>
      </w:r>
      <w:r w:rsidR="00154D46">
        <w:rPr>
          <w:rFonts w:eastAsiaTheme="minorEastAsia"/>
        </w:rPr>
        <w:t xml:space="preserve"> </w:t>
      </w:r>
    </w:p>
    <w:p w:rsidR="00C744FB" w:rsidRDefault="00C744FB" w:rsidP="00FA418C">
      <w:pPr>
        <w:spacing w:line="480" w:lineRule="auto"/>
        <w:ind w:right="1440"/>
      </w:pPr>
    </w:p>
    <w:p w:rsidR="007861D8" w:rsidRDefault="00506986" w:rsidP="00FA418C">
      <w:pPr>
        <w:spacing w:line="480" w:lineRule="auto"/>
        <w:ind w:right="1440"/>
      </w:pPr>
      <w:r>
        <w:rPr>
          <w:b/>
        </w:rPr>
        <w:t>3</w:t>
      </w:r>
      <w:r w:rsidR="003C5D5F" w:rsidRPr="003C5D5F">
        <w:rPr>
          <w:b/>
        </w:rPr>
        <w:t>.  Empirical Methodology</w:t>
      </w:r>
    </w:p>
    <w:p w:rsidR="00926BD0" w:rsidRDefault="007861D8" w:rsidP="00FA418C">
      <w:pPr>
        <w:autoSpaceDE w:val="0"/>
        <w:autoSpaceDN w:val="0"/>
        <w:adjustRightInd w:val="0"/>
        <w:spacing w:line="480" w:lineRule="auto"/>
        <w:ind w:right="1440"/>
      </w:pPr>
      <w:r>
        <w:tab/>
        <w:t>We assum</w:t>
      </w:r>
      <w:r w:rsidR="00745EB1">
        <w:t>e</w:t>
      </w:r>
      <w:r>
        <w:t xml:space="preserve"> that the </w:t>
      </w:r>
      <w:r w:rsidR="00926BD0">
        <w:t xml:space="preserve">size of the </w:t>
      </w:r>
      <w:r w:rsidR="00EE0208">
        <w:t xml:space="preserve">property-casualty </w:t>
      </w:r>
      <w:r>
        <w:t xml:space="preserve">insurance industry in each state </w:t>
      </w:r>
      <w:r w:rsidR="0043061A">
        <w:t xml:space="preserve">in each year </w:t>
      </w:r>
      <w:r>
        <w:t>is in equilibrium,</w:t>
      </w:r>
      <w:r w:rsidR="00405934">
        <w:t xml:space="preserve"> </w:t>
      </w:r>
      <w:r w:rsidR="00D03D8D">
        <w:t xml:space="preserve">meaning </w:t>
      </w:r>
      <w:r w:rsidR="00405934">
        <w:t xml:space="preserve">that </w:t>
      </w:r>
      <w:r w:rsidR="00D03D8D">
        <w:t>give</w:t>
      </w:r>
      <w:r w:rsidR="00405934">
        <w:t xml:space="preserve">n tax rates and other factors firms do not want to relocate either their headquarters or employees, </w:t>
      </w:r>
      <w:r>
        <w:t>and</w:t>
      </w:r>
      <w:r w:rsidR="00926BD0">
        <w:t xml:space="preserve"> that equilibrium </w:t>
      </w:r>
      <w:r>
        <w:t xml:space="preserve">depends on factors that reflect </w:t>
      </w:r>
      <w:r w:rsidR="006477EE">
        <w:t>the attractiveness of a state as a location.</w:t>
      </w:r>
      <w:r>
        <w:t xml:space="preserve">  </w:t>
      </w:r>
      <w:r w:rsidR="00926BD0">
        <w:t xml:space="preserve">Our regression models are estimated using the panel data set described in the next section.  </w:t>
      </w:r>
      <w:r w:rsidR="003C0375">
        <w:t>As noted below w</w:t>
      </w:r>
      <w:r w:rsidR="00926BD0">
        <w:t xml:space="preserve">e measure industry size in several ways, but for this discussion </w:t>
      </w:r>
      <w:r w:rsidR="0037283B">
        <w:t>consider</w:t>
      </w:r>
      <w:r w:rsidR="00926BD0">
        <w:t xml:space="preserve"> size as being measured by employment in the industry.  Our hypothesis is that employment will be negatively related to the state’s foreign tax rate and positively related to the difference between the state’s foreign </w:t>
      </w:r>
      <w:r w:rsidR="00EB3836">
        <w:t xml:space="preserve">and domestic </w:t>
      </w:r>
      <w:r w:rsidR="00926BD0">
        <w:t xml:space="preserve">tax rates.  </w:t>
      </w:r>
    </w:p>
    <w:p w:rsidR="0011533F" w:rsidRDefault="0011533F" w:rsidP="00FA418C">
      <w:pPr>
        <w:autoSpaceDE w:val="0"/>
        <w:autoSpaceDN w:val="0"/>
        <w:adjustRightInd w:val="0"/>
        <w:spacing w:line="480" w:lineRule="auto"/>
        <w:ind w:right="1440" w:firstLine="720"/>
      </w:pPr>
      <w:r>
        <w:t>Our basic regression model is given by</w:t>
      </w:r>
    </w:p>
    <w:p w:rsidR="0011533F" w:rsidRPr="00717F7F" w:rsidRDefault="0011533F" w:rsidP="00FA418C">
      <w:pPr>
        <w:autoSpaceDE w:val="0"/>
        <w:autoSpaceDN w:val="0"/>
        <w:adjustRightInd w:val="0"/>
        <w:spacing w:line="480" w:lineRule="auto"/>
        <w:ind w:right="1440" w:firstLine="720"/>
        <w:jc w:val="center"/>
        <w:rPr>
          <w:i/>
          <w:vertAlign w:val="subscript"/>
        </w:rPr>
      </w:pPr>
      <w:proofErr w:type="spellStart"/>
      <w:r w:rsidRPr="00FE6A45">
        <w:rPr>
          <w:i/>
        </w:rPr>
        <w:t>E</w:t>
      </w:r>
      <w:r w:rsidRPr="00FE6A45">
        <w:rPr>
          <w:i/>
          <w:vertAlign w:val="subscript"/>
        </w:rPr>
        <w:t>ts</w:t>
      </w:r>
      <w:proofErr w:type="spellEnd"/>
      <w:r w:rsidRPr="00FE6A45">
        <w:rPr>
          <w:i/>
        </w:rPr>
        <w:t xml:space="preserve"> = β</w:t>
      </w:r>
      <w:r w:rsidRPr="00FE6A45">
        <w:rPr>
          <w:i/>
          <w:vertAlign w:val="subscript"/>
        </w:rPr>
        <w:t>0</w:t>
      </w:r>
      <w:r w:rsidRPr="00FE6A45">
        <w:rPr>
          <w:i/>
        </w:rPr>
        <w:t xml:space="preserve"> + </w:t>
      </w:r>
      <m:oMath>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m:t>
            </m:r>
          </m:e>
          <m:sub>
            <m:r>
              <w:rPr>
                <w:rFonts w:ascii="Cambria Math" w:hAnsi="Cambria Math"/>
              </w:rPr>
              <m:t>ts</m:t>
            </m:r>
          </m:sub>
        </m:sSub>
      </m:oMath>
      <w:r>
        <w:rPr>
          <w:vertAlign w:val="subscript"/>
        </w:rPr>
        <w:t xml:space="preserve"> </w:t>
      </w:r>
      <w:r w:rsidRPr="00FE6A45">
        <w:rPr>
          <w:i/>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D</m:t>
            </m:r>
          </m:e>
          <m:sub>
            <m:r>
              <w:rPr>
                <w:rFonts w:ascii="Cambria Math" w:hAnsi="Cambria Math"/>
              </w:rPr>
              <m:t>ts</m:t>
            </m:r>
          </m:sub>
        </m:sSub>
      </m:oMath>
      <w:r w:rsidR="003823FB">
        <w:rPr>
          <w:i/>
        </w:rPr>
        <w:t xml:space="preserve"> + </w:t>
      </w:r>
      <w:r w:rsidRPr="00FE6A45">
        <w:rPr>
          <w:i/>
        </w:rPr>
        <w:t>∑ β</w:t>
      </w:r>
      <w:proofErr w:type="spellStart"/>
      <w:r w:rsidRPr="00FE6A45">
        <w:rPr>
          <w:i/>
          <w:vertAlign w:val="subscript"/>
        </w:rPr>
        <w:t>i</w:t>
      </w:r>
      <w:r w:rsidRPr="00FE6A45">
        <w:rPr>
          <w:i/>
        </w:rPr>
        <w:t>X</w:t>
      </w:r>
      <w:r w:rsidRPr="00FE6A45">
        <w:rPr>
          <w:i/>
          <w:vertAlign w:val="subscript"/>
        </w:rPr>
        <w:t>ts</w:t>
      </w:r>
      <w:proofErr w:type="spellEnd"/>
      <w:r w:rsidRPr="00FE6A45">
        <w:rPr>
          <w:i/>
        </w:rPr>
        <w:t xml:space="preserve"> </w:t>
      </w:r>
      <w:r w:rsidRPr="00FE6A45">
        <w:rPr>
          <w:i/>
          <w:iCs/>
          <w:szCs w:val="16"/>
        </w:rPr>
        <w:t xml:space="preserve"> + µ</w:t>
      </w:r>
      <w:r w:rsidRPr="00FE6A45">
        <w:rPr>
          <w:i/>
          <w:iCs/>
          <w:szCs w:val="16"/>
          <w:vertAlign w:val="subscript"/>
        </w:rPr>
        <w:t>t</w:t>
      </w:r>
      <w:r w:rsidRPr="00FE6A45">
        <w:rPr>
          <w:i/>
          <w:iCs/>
          <w:szCs w:val="16"/>
        </w:rPr>
        <w:t xml:space="preserve"> +</w:t>
      </w:r>
      <w:proofErr w:type="spellStart"/>
      <w:r w:rsidRPr="00FE6A45">
        <w:rPr>
          <w:i/>
          <w:iCs/>
          <w:szCs w:val="16"/>
        </w:rPr>
        <w:t>ε</w:t>
      </w:r>
      <w:r w:rsidRPr="00FE6A45">
        <w:rPr>
          <w:i/>
          <w:iCs/>
          <w:szCs w:val="16"/>
          <w:vertAlign w:val="subscript"/>
        </w:rPr>
        <w:t>ts</w:t>
      </w:r>
      <w:proofErr w:type="spellEnd"/>
      <w:r>
        <w:rPr>
          <w:i/>
          <w:vertAlign w:val="subscript"/>
        </w:rPr>
        <w:tab/>
      </w:r>
      <w:r>
        <w:rPr>
          <w:i/>
          <w:vertAlign w:val="subscript"/>
        </w:rPr>
        <w:tab/>
      </w:r>
      <w:r>
        <w:rPr>
          <w:i/>
          <w:vertAlign w:val="subscript"/>
        </w:rPr>
        <w:tab/>
      </w:r>
      <w:r>
        <w:t>[</w:t>
      </w:r>
      <w:r w:rsidR="00A5329F">
        <w:t>3</w:t>
      </w:r>
      <w:r>
        <w:t>]</w:t>
      </w:r>
    </w:p>
    <w:p w:rsidR="00D146FB" w:rsidRDefault="0011533F" w:rsidP="00FA418C">
      <w:pPr>
        <w:spacing w:line="480" w:lineRule="auto"/>
        <w:ind w:right="1440"/>
      </w:pPr>
      <w:r>
        <w:t xml:space="preserve">where </w:t>
      </w:r>
      <w:proofErr w:type="spellStart"/>
      <w:r w:rsidRPr="00FE6A45">
        <w:rPr>
          <w:i/>
        </w:rPr>
        <w:t>E</w:t>
      </w:r>
      <w:r w:rsidRPr="00FE6A45">
        <w:rPr>
          <w:i/>
          <w:vertAlign w:val="subscript"/>
        </w:rPr>
        <w:t>ts</w:t>
      </w:r>
      <w:proofErr w:type="spellEnd"/>
      <w:r w:rsidRPr="00FE6A45">
        <w:rPr>
          <w:i/>
        </w:rPr>
        <w:t xml:space="preserve"> </w:t>
      </w:r>
      <w:r>
        <w:t xml:space="preserve">is a measure of employment in the property-casualty insurance industry </w:t>
      </w:r>
      <w:r w:rsidR="009202A4">
        <w:t xml:space="preserve">in year </w:t>
      </w:r>
      <w:r w:rsidR="009202A4" w:rsidRPr="00717F7F">
        <w:rPr>
          <w:i/>
        </w:rPr>
        <w:t>t</w:t>
      </w:r>
      <w:r w:rsidR="009202A4">
        <w:t xml:space="preserve"> </w:t>
      </w:r>
      <w:r>
        <w:t xml:space="preserve">in </w:t>
      </w:r>
      <w:proofErr w:type="spellStart"/>
      <w:r>
        <w:t xml:space="preserve">state </w:t>
      </w:r>
      <w:r w:rsidRPr="00717F7F">
        <w:rPr>
          <w:i/>
        </w:rPr>
        <w:t>s</w:t>
      </w:r>
      <w:proofErr w:type="spellEnd"/>
      <w:r>
        <w:t xml:space="preserve">, </w:t>
      </w:r>
      <w:r w:rsidRPr="00FE6A45">
        <w:rPr>
          <w:i/>
        </w:rPr>
        <w:t>T</w:t>
      </w:r>
      <w:r>
        <w:t xml:space="preserve"> is the foreign insurance premium tax rate, </w:t>
      </w:r>
      <w:r w:rsidR="003823FB" w:rsidRPr="003823FB">
        <w:rPr>
          <w:i/>
        </w:rPr>
        <w:t>D</w:t>
      </w:r>
      <w:r w:rsidR="003823FB">
        <w:t xml:space="preserve"> is the </w:t>
      </w:r>
      <w:r w:rsidR="0037283B">
        <w:t xml:space="preserve">foreign </w:t>
      </w:r>
      <w:r w:rsidR="00BB2392">
        <w:t xml:space="preserve">tax </w:t>
      </w:r>
      <w:r w:rsidR="0037283B">
        <w:t xml:space="preserve">rate less the </w:t>
      </w:r>
      <w:r w:rsidR="00745EB1">
        <w:t xml:space="preserve">effective </w:t>
      </w:r>
      <w:r w:rsidR="00CC6859">
        <w:t xml:space="preserve">domestic </w:t>
      </w:r>
      <w:r w:rsidR="003823FB">
        <w:t xml:space="preserve">tax rate, </w:t>
      </w:r>
      <w:r w:rsidRPr="00FE6A45">
        <w:rPr>
          <w:i/>
        </w:rPr>
        <w:t>X</w:t>
      </w:r>
      <w:r>
        <w:t xml:space="preserve"> is a set of </w:t>
      </w:r>
      <w:r w:rsidR="00745EB1">
        <w:t xml:space="preserve">industry and state </w:t>
      </w:r>
      <w:r>
        <w:t xml:space="preserve">control variables, </w:t>
      </w:r>
      <w:r w:rsidRPr="00717F7F">
        <w:rPr>
          <w:i/>
          <w:iCs/>
          <w:szCs w:val="16"/>
        </w:rPr>
        <w:t>µ</w:t>
      </w:r>
      <w:r w:rsidRPr="00717F7F">
        <w:rPr>
          <w:iCs/>
          <w:szCs w:val="16"/>
        </w:rPr>
        <w:t xml:space="preserve"> is a set of </w:t>
      </w:r>
      <w:r w:rsidR="003823FB">
        <w:rPr>
          <w:iCs/>
          <w:szCs w:val="16"/>
        </w:rPr>
        <w:t>year</w:t>
      </w:r>
      <w:r w:rsidRPr="00717F7F">
        <w:rPr>
          <w:iCs/>
          <w:szCs w:val="16"/>
        </w:rPr>
        <w:t xml:space="preserve"> dummies, and </w:t>
      </w:r>
      <w:r w:rsidRPr="00717F7F">
        <w:rPr>
          <w:i/>
          <w:iCs/>
          <w:szCs w:val="16"/>
        </w:rPr>
        <w:t>ε</w:t>
      </w:r>
      <w:r w:rsidRPr="00717F7F">
        <w:rPr>
          <w:iCs/>
          <w:szCs w:val="16"/>
        </w:rPr>
        <w:t xml:space="preserve"> is an error term.</w:t>
      </w:r>
      <w:r>
        <w:rPr>
          <w:iCs/>
          <w:szCs w:val="16"/>
        </w:rPr>
        <w:t xml:space="preserve">  </w:t>
      </w:r>
      <w:r w:rsidR="00FB1EFE">
        <w:t xml:space="preserve">We use year dummies in order to control for factors such as the state of </w:t>
      </w:r>
      <w:r w:rsidR="00FB1EFE">
        <w:lastRenderedPageBreak/>
        <w:t>the economy that vary over time but not across states.  A model using state fixed effects is presented in section 5.2.</w:t>
      </w:r>
    </w:p>
    <w:p w:rsidR="007647B6" w:rsidRDefault="00411964" w:rsidP="00FA418C">
      <w:pPr>
        <w:autoSpaceDE w:val="0"/>
        <w:autoSpaceDN w:val="0"/>
        <w:adjustRightInd w:val="0"/>
        <w:spacing w:line="480" w:lineRule="auto"/>
        <w:ind w:right="1440"/>
      </w:pPr>
      <w:r>
        <w:tab/>
      </w:r>
      <w:r w:rsidR="000A1009">
        <w:t xml:space="preserve">Nearly all studies of the effect of taxes on state level economic activity such as employment assume that tax rates are </w:t>
      </w:r>
      <w:r w:rsidR="001D6D42">
        <w:t>exogenous</w:t>
      </w:r>
      <w:r w:rsidR="00325581">
        <w:t>; Gupta et al.</w:t>
      </w:r>
      <w:r w:rsidR="00990659">
        <w:t xml:space="preserve"> </w:t>
      </w:r>
      <w:r w:rsidR="00325581">
        <w:t xml:space="preserve">(2009) is an exception.  </w:t>
      </w:r>
      <w:r w:rsidR="004857F3">
        <w:t>The</w:t>
      </w:r>
      <w:r w:rsidR="00CB0629">
        <w:t xml:space="preserve"> insurance premium</w:t>
      </w:r>
      <w:r w:rsidR="004857F3">
        <w:t xml:space="preserve"> tax rate could be endogenous if, for example, insurance firms lobbied the state to lower the tax rate and the success of such lobbying was dependent on the size of the insurance industry in the state.  </w:t>
      </w:r>
      <w:r w:rsidR="00325581">
        <w:t>While</w:t>
      </w:r>
      <w:r w:rsidR="007647B6">
        <w:t>, as explain</w:t>
      </w:r>
      <w:r w:rsidR="00EB6FFD">
        <w:t>ed</w:t>
      </w:r>
      <w:r w:rsidR="007647B6">
        <w:t xml:space="preserve"> below,</w:t>
      </w:r>
      <w:r w:rsidR="00325581">
        <w:t xml:space="preserve"> our priors are that the foreign tax rate is e</w:t>
      </w:r>
      <w:r w:rsidR="00483A61">
        <w:t>xogenous</w:t>
      </w:r>
      <w:r w:rsidR="00325581">
        <w:t xml:space="preserve">, we consider the possibility that it is not.  To address this possible </w:t>
      </w:r>
      <w:proofErr w:type="spellStart"/>
      <w:r w:rsidR="00325581">
        <w:t>endogeneity</w:t>
      </w:r>
      <w:proofErr w:type="spellEnd"/>
      <w:r w:rsidR="00325581">
        <w:t xml:space="preserve"> issue we first use lagged tax rates</w:t>
      </w:r>
      <w:r w:rsidR="007647B6">
        <w:t xml:space="preserve">, but </w:t>
      </w:r>
      <w:r w:rsidR="002D0575">
        <w:t xml:space="preserve">then </w:t>
      </w:r>
      <w:r w:rsidR="007647B6">
        <w:t>also specify a simultaneous equation model that is estimated using 2SLS.</w:t>
      </w:r>
    </w:p>
    <w:p w:rsidR="009667A2" w:rsidRDefault="0037283B" w:rsidP="00FA418C">
      <w:pPr>
        <w:autoSpaceDE w:val="0"/>
        <w:autoSpaceDN w:val="0"/>
        <w:adjustRightInd w:val="0"/>
        <w:spacing w:line="480" w:lineRule="auto"/>
        <w:ind w:right="1440"/>
        <w:rPr>
          <w:b/>
        </w:rPr>
      </w:pPr>
      <w:r>
        <w:t xml:space="preserve">  </w:t>
      </w:r>
    </w:p>
    <w:p w:rsidR="007E50F3" w:rsidRPr="007E50F3" w:rsidRDefault="00B92DB8" w:rsidP="00FA418C">
      <w:pPr>
        <w:spacing w:line="480" w:lineRule="auto"/>
        <w:ind w:right="1440"/>
        <w:rPr>
          <w:b/>
        </w:rPr>
      </w:pPr>
      <w:r>
        <w:rPr>
          <w:b/>
        </w:rPr>
        <w:t>4</w:t>
      </w:r>
      <w:r w:rsidR="007E50F3" w:rsidRPr="007E50F3">
        <w:rPr>
          <w:b/>
        </w:rPr>
        <w:t>.  Data</w:t>
      </w:r>
    </w:p>
    <w:p w:rsidR="00745EB1" w:rsidRDefault="009A3C0B" w:rsidP="00FA418C">
      <w:pPr>
        <w:spacing w:line="480" w:lineRule="auto"/>
        <w:ind w:right="1440" w:firstLine="720"/>
      </w:pPr>
      <w:r>
        <w:t xml:space="preserve">Our data consists of a panel for the 50 states </w:t>
      </w:r>
      <w:r w:rsidR="000B1FD1">
        <w:t xml:space="preserve">plus D.C. </w:t>
      </w:r>
      <w:r>
        <w:t>for each year 199</w:t>
      </w:r>
      <w:r w:rsidR="000B1FD1">
        <w:t>6</w:t>
      </w:r>
      <w:r>
        <w:t xml:space="preserve"> to 20</w:t>
      </w:r>
      <w:r w:rsidR="000B1FD1">
        <w:t>10</w:t>
      </w:r>
      <w:r>
        <w:t>.</w:t>
      </w:r>
      <w:r w:rsidR="00244FD1">
        <w:t xml:space="preserve">  There are missing data for some years for some states, which reduces our sample size </w:t>
      </w:r>
      <w:r w:rsidR="00DC3FA0">
        <w:t xml:space="preserve">from </w:t>
      </w:r>
      <w:r w:rsidR="0037283B">
        <w:t>765</w:t>
      </w:r>
      <w:r w:rsidR="00DC3FA0">
        <w:t xml:space="preserve"> </w:t>
      </w:r>
      <w:r w:rsidR="00244FD1">
        <w:t xml:space="preserve">to </w:t>
      </w:r>
      <w:r w:rsidR="009C1F14">
        <w:t>7</w:t>
      </w:r>
      <w:r w:rsidR="003E24F4">
        <w:t>5</w:t>
      </w:r>
      <w:r w:rsidR="00411964">
        <w:t>5</w:t>
      </w:r>
      <w:r w:rsidR="00244FD1">
        <w:t>.</w:t>
      </w:r>
      <w:r w:rsidR="0068755A">
        <w:rPr>
          <w:rStyle w:val="FootnoteReference"/>
        </w:rPr>
        <w:footnoteReference w:id="10"/>
      </w:r>
      <w:r>
        <w:t xml:space="preserve">  Our focus in this paper is </w:t>
      </w:r>
      <w:r w:rsidR="007252B4">
        <w:t xml:space="preserve">specifically </w:t>
      </w:r>
      <w:r>
        <w:t xml:space="preserve">on the property-casualty </w:t>
      </w:r>
      <w:r w:rsidR="00DE68A0">
        <w:t xml:space="preserve">insurance </w:t>
      </w:r>
      <w:r>
        <w:t>industry</w:t>
      </w:r>
      <w:r w:rsidR="00DE68A0">
        <w:t>,</w:t>
      </w:r>
      <w:r>
        <w:t xml:space="preserve"> in part because it is possible to obtain information about the taxes paid by each insurer writing insurance in a state for this industry.  </w:t>
      </w:r>
      <w:r w:rsidR="00943802">
        <w:t>This level of detail for state taxes is not available for the life insurance industry</w:t>
      </w:r>
      <w:r w:rsidR="00A5719D">
        <w:t xml:space="preserve">.  </w:t>
      </w:r>
    </w:p>
    <w:p w:rsidR="00B81D90" w:rsidRDefault="006E3CAE" w:rsidP="00FA418C">
      <w:pPr>
        <w:spacing w:line="480" w:lineRule="auto"/>
        <w:ind w:right="1440" w:firstLine="720"/>
      </w:pPr>
      <w:r>
        <w:t xml:space="preserve">We constructed state-specific effective </w:t>
      </w:r>
      <w:r w:rsidR="00CE4095">
        <w:t xml:space="preserve">domestic </w:t>
      </w:r>
      <w:r>
        <w:t>tax rates</w:t>
      </w:r>
      <w:r w:rsidR="0046593F">
        <w:t xml:space="preserve">, denoted </w:t>
      </w:r>
      <w:proofErr w:type="spellStart"/>
      <w:r w:rsidR="0046593F" w:rsidRPr="00075E11">
        <w:rPr>
          <w:i/>
        </w:rPr>
        <w:t>DRate</w:t>
      </w:r>
      <w:proofErr w:type="spellEnd"/>
      <w:r w:rsidR="00CB0629">
        <w:rPr>
          <w:i/>
        </w:rPr>
        <w:t xml:space="preserve"> using</w:t>
      </w:r>
      <w:r w:rsidR="004954F5">
        <w:t xml:space="preserve"> data from the </w:t>
      </w:r>
      <w:r w:rsidR="004954F5" w:rsidRPr="00311138">
        <w:t>National Association of Insurance Commissioners</w:t>
      </w:r>
      <w:r w:rsidR="00311138">
        <w:rPr>
          <w:i/>
        </w:rPr>
        <w:t>,</w:t>
      </w:r>
      <w:r w:rsidR="004954F5" w:rsidRPr="001B27C1">
        <w:rPr>
          <w:i/>
        </w:rPr>
        <w:t xml:space="preserve"> </w:t>
      </w:r>
      <w:r w:rsidR="004954F5">
        <w:rPr>
          <w:i/>
        </w:rPr>
        <w:t>A</w:t>
      </w:r>
      <w:r w:rsidR="004954F5" w:rsidRPr="001B27C1">
        <w:rPr>
          <w:i/>
        </w:rPr>
        <w:t>nnu</w:t>
      </w:r>
      <w:r w:rsidR="004954F5">
        <w:rPr>
          <w:i/>
        </w:rPr>
        <w:t>a</w:t>
      </w:r>
      <w:r w:rsidR="004954F5" w:rsidRPr="001B27C1">
        <w:rPr>
          <w:i/>
        </w:rPr>
        <w:t xml:space="preserve">l </w:t>
      </w:r>
      <w:r w:rsidR="00311138">
        <w:rPr>
          <w:i/>
        </w:rPr>
        <w:t>Statement</w:t>
      </w:r>
      <w:r w:rsidR="00311138">
        <w:t xml:space="preserve">, </w:t>
      </w:r>
      <w:proofErr w:type="gramStart"/>
      <w:r w:rsidR="00311138" w:rsidRPr="00311138">
        <w:rPr>
          <w:i/>
        </w:rPr>
        <w:t>State</w:t>
      </w:r>
      <w:proofErr w:type="gramEnd"/>
      <w:r w:rsidR="00311138" w:rsidRPr="00311138">
        <w:rPr>
          <w:i/>
        </w:rPr>
        <w:t xml:space="preserve"> Page</w:t>
      </w:r>
      <w:r w:rsidR="00311138">
        <w:t xml:space="preserve"> (various years).</w:t>
      </w:r>
      <w:r w:rsidR="00024C5C">
        <w:rPr>
          <w:rStyle w:val="FootnoteReference"/>
        </w:rPr>
        <w:footnoteReference w:id="11"/>
      </w:r>
      <w:r w:rsidR="0084028A">
        <w:t xml:space="preserve">  Th</w:t>
      </w:r>
      <w:r w:rsidR="001F1790">
        <w:t>ese</w:t>
      </w:r>
      <w:r w:rsidR="0084028A">
        <w:t xml:space="preserve"> data contain a </w:t>
      </w:r>
      <w:r w:rsidR="00C1689B">
        <w:t>state-</w:t>
      </w:r>
      <w:r w:rsidR="0084028A">
        <w:t>by</w:t>
      </w:r>
      <w:r w:rsidR="00C1689B">
        <w:t>-</w:t>
      </w:r>
      <w:r w:rsidR="0084028A">
        <w:t xml:space="preserve">state enumeration of premiums, losses, expenses, </w:t>
      </w:r>
      <w:r w:rsidR="0084028A">
        <w:lastRenderedPageBreak/>
        <w:t>commissions, and taxes for each company writing business in a state in a given year.</w:t>
      </w:r>
      <w:r w:rsidR="004954F5">
        <w:t xml:space="preserve">   </w:t>
      </w:r>
      <w:r w:rsidR="0084028A">
        <w:t xml:space="preserve">Specifically, </w:t>
      </w:r>
      <w:r w:rsidR="00F50B8F">
        <w:t>t</w:t>
      </w:r>
      <w:r w:rsidR="004954F5">
        <w:t>he data contain the amount paid in a given year for premium taxes</w:t>
      </w:r>
      <w:r w:rsidR="0084028A">
        <w:t>,</w:t>
      </w:r>
      <w:r w:rsidR="004954F5">
        <w:t xml:space="preserve"> licenses, and fees</w:t>
      </w:r>
      <w:r w:rsidR="00CE4095">
        <w:t>, as well as any credits received</w:t>
      </w:r>
      <w:r w:rsidR="004954F5">
        <w:t xml:space="preserve">.  </w:t>
      </w:r>
      <w:r w:rsidR="00CE4095">
        <w:t>Total net taxes are the sum of premium taxes, licenses, and fees less any credits.  Thus, our tax variable reflects state-specific institutional provision</w:t>
      </w:r>
      <w:r w:rsidR="00A5719D">
        <w:t>s</w:t>
      </w:r>
      <w:r w:rsidR="00CE4095">
        <w:t xml:space="preserve"> of the premium tax.  </w:t>
      </w:r>
      <w:r w:rsidR="004954F5">
        <w:t xml:space="preserve">The effective </w:t>
      </w:r>
      <w:r w:rsidR="00CE4095">
        <w:t xml:space="preserve">domestic tax </w:t>
      </w:r>
      <w:r w:rsidR="004954F5">
        <w:t xml:space="preserve">rates are calculated </w:t>
      </w:r>
      <w:r w:rsidR="00CE4095">
        <w:t xml:space="preserve">by dividing total direct net taxes paid to </w:t>
      </w:r>
      <w:proofErr w:type="spellStart"/>
      <w:r w:rsidR="00CE4095">
        <w:t xml:space="preserve">state </w:t>
      </w:r>
      <w:r w:rsidR="00CE4095" w:rsidRPr="00C52B4F">
        <w:rPr>
          <w:i/>
        </w:rPr>
        <w:t>s</w:t>
      </w:r>
      <w:proofErr w:type="spellEnd"/>
      <w:r w:rsidR="00CE4095">
        <w:t xml:space="preserve"> by property-casualty insurance companies domiciled in </w:t>
      </w:r>
      <w:proofErr w:type="spellStart"/>
      <w:r w:rsidR="00CE4095">
        <w:t xml:space="preserve">state </w:t>
      </w:r>
      <w:r w:rsidR="00CE4095">
        <w:rPr>
          <w:i/>
        </w:rPr>
        <w:t>s</w:t>
      </w:r>
      <w:proofErr w:type="spellEnd"/>
      <w:r w:rsidR="00CE4095">
        <w:t xml:space="preserve"> by </w:t>
      </w:r>
      <w:r w:rsidR="00313668">
        <w:t xml:space="preserve">the </w:t>
      </w:r>
      <w:r w:rsidR="00CE4095">
        <w:t xml:space="preserve">premiums written in </w:t>
      </w:r>
      <w:proofErr w:type="spellStart"/>
      <w:r w:rsidR="00CE4095">
        <w:t xml:space="preserve">state </w:t>
      </w:r>
      <w:r w:rsidR="00CE4095">
        <w:rPr>
          <w:i/>
        </w:rPr>
        <w:t>s</w:t>
      </w:r>
      <w:proofErr w:type="spellEnd"/>
      <w:r w:rsidR="00CE4095">
        <w:t xml:space="preserve"> by insurance companies domiciled in </w:t>
      </w:r>
      <w:proofErr w:type="spellStart"/>
      <w:r w:rsidR="00CE4095">
        <w:t xml:space="preserve">state </w:t>
      </w:r>
      <w:r w:rsidR="00CE4095">
        <w:rPr>
          <w:i/>
        </w:rPr>
        <w:t>s</w:t>
      </w:r>
      <w:proofErr w:type="spellEnd"/>
      <w:r w:rsidR="00CE4095">
        <w:t xml:space="preserve">.  </w:t>
      </w:r>
    </w:p>
    <w:p w:rsidR="008500B8" w:rsidRDefault="004954F5" w:rsidP="00FA418C">
      <w:pPr>
        <w:spacing w:line="480" w:lineRule="auto"/>
        <w:ind w:right="1440" w:firstLine="720"/>
      </w:pPr>
      <w:r>
        <w:t xml:space="preserve">The foreign </w:t>
      </w:r>
      <w:r w:rsidR="00CE4095">
        <w:t xml:space="preserve">tax </w:t>
      </w:r>
      <w:r>
        <w:t>rate</w:t>
      </w:r>
      <w:r w:rsidR="00B81D90">
        <w:t xml:space="preserve">, denoted </w:t>
      </w:r>
      <w:proofErr w:type="spellStart"/>
      <w:r w:rsidR="00B81D90" w:rsidRPr="008934BE">
        <w:rPr>
          <w:i/>
        </w:rPr>
        <w:t>FRate</w:t>
      </w:r>
      <w:proofErr w:type="spellEnd"/>
      <w:r w:rsidR="00B81D90">
        <w:rPr>
          <w:i/>
        </w:rPr>
        <w:t>,</w:t>
      </w:r>
      <w:r>
        <w:t xml:space="preserve"> is </w:t>
      </w:r>
      <w:r w:rsidR="00B81D90">
        <w:t xml:space="preserve">measured by the statutory foreign tax rate, obtained from </w:t>
      </w:r>
      <w:r w:rsidR="007C6860">
        <w:t xml:space="preserve">NAIC’s Retaliation Tax Guide </w:t>
      </w:r>
      <w:r w:rsidR="00CC6859">
        <w:t>(</w:t>
      </w:r>
      <w:r w:rsidR="007C6860">
        <w:t>various years</w:t>
      </w:r>
      <w:r w:rsidR="00CC6859">
        <w:t>)</w:t>
      </w:r>
      <w:r w:rsidR="00B81D90">
        <w:t>.</w:t>
      </w:r>
      <w:r w:rsidR="00B81D90">
        <w:rPr>
          <w:rStyle w:val="FootnoteReference"/>
        </w:rPr>
        <w:footnoteReference w:id="12"/>
      </w:r>
      <w:r w:rsidR="00B81D90">
        <w:t xml:space="preserve">  </w:t>
      </w:r>
      <w:proofErr w:type="spellStart"/>
      <w:r w:rsidR="008500B8">
        <w:t>Petroni</w:t>
      </w:r>
      <w:proofErr w:type="spellEnd"/>
      <w:r w:rsidR="008500B8">
        <w:t xml:space="preserve"> and Shackelford (1995) estimated effective foreign tax rate</w:t>
      </w:r>
      <w:r w:rsidR="00CC6859">
        <w:t>s</w:t>
      </w:r>
      <w:r w:rsidR="008500B8">
        <w:t xml:space="preserve"> by </w:t>
      </w:r>
      <w:r w:rsidR="001F1E45">
        <w:t>sum</w:t>
      </w:r>
      <w:r w:rsidR="008500B8">
        <w:t>ming</w:t>
      </w:r>
      <w:r w:rsidR="00CE4095">
        <w:t xml:space="preserve"> total net</w:t>
      </w:r>
      <w:r w:rsidR="001F1E45">
        <w:t xml:space="preserve"> taxes paid to </w:t>
      </w:r>
      <w:proofErr w:type="spellStart"/>
      <w:r w:rsidR="001F1E45">
        <w:t xml:space="preserve">state </w:t>
      </w:r>
      <w:r w:rsidR="009A3C0B">
        <w:rPr>
          <w:i/>
        </w:rPr>
        <w:t>s</w:t>
      </w:r>
      <w:proofErr w:type="spellEnd"/>
      <w:r w:rsidR="001F1E45">
        <w:t xml:space="preserve"> by foreign firms divided by the premium</w:t>
      </w:r>
      <w:r w:rsidR="006C3653">
        <w:t>s</w:t>
      </w:r>
      <w:r w:rsidR="001F1E45">
        <w:t xml:space="preserve"> written in </w:t>
      </w:r>
      <w:proofErr w:type="spellStart"/>
      <w:r w:rsidR="001F1E45">
        <w:t xml:space="preserve">state </w:t>
      </w:r>
      <w:r w:rsidR="009A3C0B">
        <w:rPr>
          <w:i/>
        </w:rPr>
        <w:t>s</w:t>
      </w:r>
      <w:proofErr w:type="spellEnd"/>
      <w:r w:rsidR="001F1E45">
        <w:t xml:space="preserve"> by foreign firms.</w:t>
      </w:r>
      <w:r w:rsidR="009A3C0B" w:rsidRPr="009A3C0B">
        <w:t xml:space="preserve"> </w:t>
      </w:r>
      <w:r w:rsidR="008500B8">
        <w:t xml:space="preserve"> </w:t>
      </w:r>
      <w:r w:rsidR="00CB0629">
        <w:t xml:space="preserve">However, the taxes paid to a state by a foreign firm are based on whether the state in which the premiums are written or the state of domicile has the higher foreign tax rate.  Thus, </w:t>
      </w:r>
      <w:proofErr w:type="spellStart"/>
      <w:r w:rsidR="00CB0629">
        <w:t>Petroni</w:t>
      </w:r>
      <w:proofErr w:type="spellEnd"/>
      <w:r w:rsidR="00CB0629">
        <w:t xml:space="preserve"> and Shackelford</w:t>
      </w:r>
      <w:r w:rsidR="008500B8">
        <w:t xml:space="preserve"> </w:t>
      </w:r>
      <w:r w:rsidR="00CB0629">
        <w:t>measure the</w:t>
      </w:r>
      <w:r w:rsidR="008500B8">
        <w:t xml:space="preserve"> </w:t>
      </w:r>
      <w:r w:rsidR="00CB0629">
        <w:t xml:space="preserve">state’s effective </w:t>
      </w:r>
      <w:r w:rsidR="008500B8">
        <w:t>foreign</w:t>
      </w:r>
      <w:r w:rsidR="00CB0629">
        <w:t xml:space="preserve"> tax rate</w:t>
      </w:r>
      <w:r w:rsidR="008500B8">
        <w:t xml:space="preserve"> a</w:t>
      </w:r>
      <w:r w:rsidR="00CB0629">
        <w:t>s a mix of the state’s foreign tax rate and the foreign tax rates in state</w:t>
      </w:r>
      <w:r w:rsidR="00CC6859">
        <w:t>s</w:t>
      </w:r>
      <w:r w:rsidR="00CB0629">
        <w:t xml:space="preserve"> of domicile</w:t>
      </w:r>
      <w:r w:rsidR="008500B8">
        <w:t xml:space="preserve">, and thus is not an accurate measure of the effective foreign tax rate.  Nonetheless, we </w:t>
      </w:r>
      <w:r w:rsidR="00CC6859">
        <w:t xml:space="preserve">also </w:t>
      </w:r>
      <w:r w:rsidR="008500B8">
        <w:t xml:space="preserve">calculated the effective foreign tax rate using </w:t>
      </w:r>
      <w:proofErr w:type="spellStart"/>
      <w:r w:rsidR="008500B8">
        <w:t>Petroni</w:t>
      </w:r>
      <w:proofErr w:type="spellEnd"/>
      <w:r w:rsidR="008500B8">
        <w:t xml:space="preserve"> and Shackelford’s procedures.  The resulting effective foreign tax rates and the statutory tax rates are highly correlated, and using the effective </w:t>
      </w:r>
      <w:r w:rsidR="00CC6859">
        <w:t xml:space="preserve">foreign </w:t>
      </w:r>
      <w:r w:rsidR="008500B8">
        <w:t>tax rates rather than the statutory</w:t>
      </w:r>
      <w:r w:rsidR="00CC6859">
        <w:t xml:space="preserve"> foreign</w:t>
      </w:r>
      <w:r w:rsidR="008500B8">
        <w:t xml:space="preserve"> tax rates yield very similar empirical results. </w:t>
      </w:r>
    </w:p>
    <w:p w:rsidR="006B6162" w:rsidRDefault="00EA16BD" w:rsidP="00FA418C">
      <w:pPr>
        <w:spacing w:line="480" w:lineRule="auto"/>
        <w:ind w:right="1440" w:firstLine="720"/>
      </w:pPr>
      <w:r>
        <w:rPr>
          <w:rFonts w:eastAsiaTheme="minorEastAsia"/>
        </w:rPr>
        <w:lastRenderedPageBreak/>
        <w:t xml:space="preserve">Because the foreign and domestic tax rates are highly correlated, it is not appropriate to include both rates in a regression equation.  Thus, for both theoretical and econometric reasons we include the foreign tax rate and the difference between the foreign and domestic rates in the regressions. </w:t>
      </w:r>
      <w:r>
        <w:t xml:space="preserve"> Therefore, w</w:t>
      </w:r>
      <w:r w:rsidR="0046593F">
        <w:t xml:space="preserve">e created </w:t>
      </w:r>
      <w:proofErr w:type="spellStart"/>
      <w:r w:rsidR="00C51BB8">
        <w:rPr>
          <w:i/>
        </w:rPr>
        <w:t>DifRate</w:t>
      </w:r>
      <w:proofErr w:type="spellEnd"/>
      <w:r w:rsidR="0046593F" w:rsidRPr="00E964EA">
        <w:rPr>
          <w:i/>
        </w:rPr>
        <w:t>,</w:t>
      </w:r>
      <w:r w:rsidR="0046593F">
        <w:t xml:space="preserve"> which equals </w:t>
      </w:r>
      <w:proofErr w:type="spellStart"/>
      <w:r w:rsidR="0046593F" w:rsidRPr="00E964EA">
        <w:rPr>
          <w:i/>
        </w:rPr>
        <w:t>FRate-DRate</w:t>
      </w:r>
      <w:proofErr w:type="spellEnd"/>
      <w:r w:rsidR="0046593F">
        <w:t xml:space="preserve">. </w:t>
      </w:r>
      <w:r w:rsidR="006B6162">
        <w:t>On average, the foreign tax rate is greater than the domestic</w:t>
      </w:r>
      <w:r w:rsidR="00C91D67">
        <w:t xml:space="preserve"> tax</w:t>
      </w:r>
      <w:r w:rsidR="006B6162">
        <w:t xml:space="preserve"> rate.  However, over the period of our data the average domestic and foreign tax rates fell, </w:t>
      </w:r>
      <w:r w:rsidR="00F55F0C">
        <w:t xml:space="preserve">with </w:t>
      </w:r>
      <w:r w:rsidR="006B6162">
        <w:t xml:space="preserve">the foreign tax rates </w:t>
      </w:r>
      <w:r w:rsidR="00F55F0C">
        <w:t xml:space="preserve">falling </w:t>
      </w:r>
      <w:r w:rsidR="006B6162">
        <w:t>by more</w:t>
      </w:r>
      <w:r w:rsidR="00F55F0C">
        <w:t>.</w:t>
      </w:r>
      <w:r w:rsidR="006B6162">
        <w:t xml:space="preserve"> </w:t>
      </w:r>
      <w:r w:rsidR="00F55F0C">
        <w:t>Thus</w:t>
      </w:r>
      <w:r w:rsidR="00745EB1">
        <w:t>,</w:t>
      </w:r>
      <w:r w:rsidR="00F55F0C">
        <w:t xml:space="preserve"> </w:t>
      </w:r>
      <w:r w:rsidR="006B6162">
        <w:t>the average difference between the two rates fell</w:t>
      </w:r>
      <w:r w:rsidR="00313668">
        <w:t xml:space="preserve"> from </w:t>
      </w:r>
      <w:r w:rsidR="007C6860">
        <w:t>4</w:t>
      </w:r>
      <w:r w:rsidR="00313668">
        <w:t xml:space="preserve"> percent of the mean </w:t>
      </w:r>
      <w:r w:rsidR="009C1F14">
        <w:t>foreign</w:t>
      </w:r>
      <w:r w:rsidR="00313668">
        <w:t xml:space="preserve"> rate</w:t>
      </w:r>
      <w:r w:rsidR="009C1F14">
        <w:t xml:space="preserve"> in 1996</w:t>
      </w:r>
      <w:r w:rsidR="00313668">
        <w:t xml:space="preserve"> to </w:t>
      </w:r>
      <w:r w:rsidR="007C6860">
        <w:t xml:space="preserve">one-half of one </w:t>
      </w:r>
      <w:r w:rsidR="00313668">
        <w:t>percent in 20</w:t>
      </w:r>
      <w:r w:rsidR="009C1F14">
        <w:t>10</w:t>
      </w:r>
      <w:r w:rsidR="006B6162">
        <w:t xml:space="preserve">.  </w:t>
      </w:r>
    </w:p>
    <w:p w:rsidR="00674153" w:rsidRDefault="005E4E4E" w:rsidP="00FA418C">
      <w:pPr>
        <w:spacing w:line="480" w:lineRule="auto"/>
        <w:ind w:right="1440" w:firstLine="720"/>
      </w:pPr>
      <w:r>
        <w:t>Our principal</w:t>
      </w:r>
      <w:r w:rsidR="00EC73FA">
        <w:t xml:space="preserve"> depend</w:t>
      </w:r>
      <w:r w:rsidR="009A3C0B">
        <w:t>e</w:t>
      </w:r>
      <w:r w:rsidR="00EC73FA">
        <w:t>nt variable</w:t>
      </w:r>
      <w:r>
        <w:t xml:space="preserve"> is </w:t>
      </w:r>
      <w:r w:rsidR="00EC73FA">
        <w:t>employment</w:t>
      </w:r>
      <w:r w:rsidR="007A00E0">
        <w:t xml:space="preserve"> in </w:t>
      </w:r>
      <w:r w:rsidR="00A5125B">
        <w:t>thousands</w:t>
      </w:r>
      <w:r w:rsidR="00EC73FA">
        <w:t xml:space="preserve"> </w:t>
      </w:r>
      <w:r w:rsidR="000B0A27">
        <w:t xml:space="preserve">in the property-casualty industry </w:t>
      </w:r>
      <w:r w:rsidR="00EC73FA">
        <w:t>in a state in a given year</w:t>
      </w:r>
      <w:r w:rsidR="0046593F">
        <w:t xml:space="preserve">, denoted </w:t>
      </w:r>
      <w:r w:rsidR="0046593F" w:rsidRPr="00075E11">
        <w:rPr>
          <w:i/>
        </w:rPr>
        <w:t>Emp</w:t>
      </w:r>
      <w:r>
        <w:t xml:space="preserve">. The property-casualty employment </w:t>
      </w:r>
      <w:r w:rsidR="00313668">
        <w:t xml:space="preserve">data </w:t>
      </w:r>
      <w:r>
        <w:t xml:space="preserve">come from the Bureau of the </w:t>
      </w:r>
      <w:r w:rsidR="00745EB1">
        <w:t>Labor Statistics (Quarterly Census of Employment and Wages Program)</w:t>
      </w:r>
      <w:r>
        <w:t xml:space="preserve"> and is </w:t>
      </w:r>
      <w:r w:rsidR="00745EB1">
        <w:t xml:space="preserve">for the industry </w:t>
      </w:r>
      <w:r>
        <w:t xml:space="preserve">defined as NAICS series 524126.  </w:t>
      </w:r>
      <w:r w:rsidR="00BC2233">
        <w:t xml:space="preserve">This NAICS series captures employment specifically related to the underwriting and risk assessment services </w:t>
      </w:r>
      <w:r w:rsidR="004F3189">
        <w:t>associated with</w:t>
      </w:r>
      <w:r w:rsidR="00BC2233">
        <w:t xml:space="preserve"> the </w:t>
      </w:r>
      <w:r w:rsidR="00A678D1">
        <w:t>property-</w:t>
      </w:r>
      <w:r w:rsidR="000E16EC">
        <w:t>casualty</w:t>
      </w:r>
      <w:r w:rsidR="00A678D1">
        <w:t xml:space="preserve"> </w:t>
      </w:r>
      <w:r w:rsidR="00BC2233">
        <w:t xml:space="preserve">insurance industry and excludes agents and other insurance industry employment. </w:t>
      </w:r>
      <w:r w:rsidR="00707966">
        <w:t xml:space="preserve"> </w:t>
      </w:r>
      <w:r w:rsidR="000F03CC">
        <w:t>We also consider several other measures of the size of the insurance industry</w:t>
      </w:r>
      <w:r w:rsidR="003E24F4">
        <w:t>, as discussed below</w:t>
      </w:r>
      <w:r w:rsidR="000F03CC">
        <w:t>.</w:t>
      </w:r>
    </w:p>
    <w:p w:rsidR="00786AD6" w:rsidRDefault="00745EB1" w:rsidP="00FA418C">
      <w:pPr>
        <w:spacing w:line="480" w:lineRule="auto"/>
        <w:ind w:right="1440" w:firstLine="720"/>
      </w:pPr>
      <w:r>
        <w:t>We include two industry control vari</w:t>
      </w:r>
      <w:r w:rsidR="00F4618C">
        <w:t>a</w:t>
      </w:r>
      <w:r>
        <w:t>b</w:t>
      </w:r>
      <w:r w:rsidR="00F4618C">
        <w:t>l</w:t>
      </w:r>
      <w:r>
        <w:t xml:space="preserve">es.  </w:t>
      </w:r>
      <w:r w:rsidR="008E328F">
        <w:t>To control for the stringency of the state’s regulatory environment we employ an indicator variable</w:t>
      </w:r>
      <w:r w:rsidR="0046593F">
        <w:t xml:space="preserve">, denoted </w:t>
      </w:r>
      <w:proofErr w:type="spellStart"/>
      <w:r w:rsidR="0046593F" w:rsidRPr="00075E11">
        <w:rPr>
          <w:i/>
        </w:rPr>
        <w:t>Reg</w:t>
      </w:r>
      <w:proofErr w:type="spellEnd"/>
      <w:r w:rsidR="0046593F">
        <w:t>,</w:t>
      </w:r>
      <w:r w:rsidR="008E328F">
        <w:t xml:space="preserve"> </w:t>
      </w:r>
      <w:r w:rsidR="009202A4">
        <w:t>which equals one if</w:t>
      </w:r>
      <w:r w:rsidR="008E328F">
        <w:t xml:space="preserve"> the state regulates price changes with “prior approval” </w:t>
      </w:r>
      <w:r w:rsidR="00B3020D">
        <w:t>and zero i</w:t>
      </w:r>
      <w:r w:rsidR="00B1067E">
        <w:t>f</w:t>
      </w:r>
      <w:r w:rsidR="00B3020D">
        <w:t xml:space="preserve"> it</w:t>
      </w:r>
      <w:r w:rsidR="008E328F">
        <w:t xml:space="preserve"> allows companies to set prices subject to an </w:t>
      </w:r>
      <w:r w:rsidR="008E328F" w:rsidRPr="00407B35">
        <w:rPr>
          <w:i/>
        </w:rPr>
        <w:t xml:space="preserve">ex post </w:t>
      </w:r>
      <w:r w:rsidR="008E328F">
        <w:t>oversight of rates.</w:t>
      </w:r>
      <w:r w:rsidR="00E978D9">
        <w:rPr>
          <w:rStyle w:val="FootnoteReference"/>
        </w:rPr>
        <w:footnoteReference w:id="13"/>
      </w:r>
      <w:r w:rsidR="008E328F">
        <w:t xml:space="preserve">  Prior approval states require the insurer </w:t>
      </w:r>
      <w:r w:rsidR="000B45DE">
        <w:t xml:space="preserve">to </w:t>
      </w:r>
      <w:r w:rsidR="008E328F">
        <w:t xml:space="preserve">submit its rates for approval from the regulator prior to their use in policy contracts.  This prior approval </w:t>
      </w:r>
      <w:r w:rsidR="008E328F">
        <w:lastRenderedPageBreak/>
        <w:t xml:space="preserve">indicator variable </w:t>
      </w:r>
      <w:r w:rsidR="00FF0012">
        <w:t xml:space="preserve">is based upon </w:t>
      </w:r>
      <w:r w:rsidR="008E328F">
        <w:t xml:space="preserve">Harrington (2002) </w:t>
      </w:r>
      <w:r w:rsidR="00FF0012">
        <w:t xml:space="preserve">and was updated </w:t>
      </w:r>
      <w:r w:rsidR="007647B6">
        <w:t xml:space="preserve">by the authors </w:t>
      </w:r>
      <w:r w:rsidR="00FF0012">
        <w:t>to be consi</w:t>
      </w:r>
      <w:r w:rsidR="007647B6">
        <w:t>s</w:t>
      </w:r>
      <w:r w:rsidR="00FF0012">
        <w:t xml:space="preserve">tent with our panel.  This </w:t>
      </w:r>
      <w:r w:rsidR="008E328F">
        <w:t>is a crude but commonly employed variable to describe the state</w:t>
      </w:r>
      <w:r w:rsidR="00B3510E">
        <w:t>’</w:t>
      </w:r>
      <w:r w:rsidR="008E328F">
        <w:t xml:space="preserve">s regulatory environment.  </w:t>
      </w:r>
      <w:r w:rsidR="00786AD6">
        <w:t xml:space="preserve">It could be that strict </w:t>
      </w:r>
      <w:r w:rsidR="00E978D9">
        <w:t xml:space="preserve">price </w:t>
      </w:r>
      <w:r w:rsidR="00786AD6">
        <w:t>regulation reduces the output of insurers and this reduces the demand for labor.  Or, it could be that strict regulation increases employment in order to better comply with the state’s regulations.</w:t>
      </w:r>
      <w:r w:rsidR="00A60B43" w:rsidRPr="00A60B43">
        <w:t xml:space="preserve"> </w:t>
      </w:r>
      <w:r w:rsidR="00A60B43">
        <w:t xml:space="preserve"> However, our prior is that more strict regulation will reduce insurance industry employment</w:t>
      </w:r>
      <w:r w:rsidR="00F8191C">
        <w:t xml:space="preserve"> within a state</w:t>
      </w:r>
      <w:r w:rsidR="00A60B43">
        <w:t xml:space="preserve">.   </w:t>
      </w:r>
    </w:p>
    <w:p w:rsidR="003174A8" w:rsidRDefault="003174A8" w:rsidP="00FA418C">
      <w:pPr>
        <w:spacing w:line="480" w:lineRule="auto"/>
        <w:ind w:right="1440" w:firstLine="720"/>
      </w:pPr>
      <w:r>
        <w:t xml:space="preserve">“Prior approval” regulation applies to both domestic and foreign firms.  We would have preferred to have a variable that measured a state’s regulatory power </w:t>
      </w:r>
      <w:r w:rsidR="00EA16BD">
        <w:t xml:space="preserve">solely </w:t>
      </w:r>
      <w:r>
        <w:t>over domiciled firm</w:t>
      </w:r>
      <w:r w:rsidR="00EA16BD">
        <w:t>s</w:t>
      </w:r>
      <w:r>
        <w:t>.</w:t>
      </w:r>
      <w:r w:rsidR="003E24F4">
        <w:t xml:space="preserve">  </w:t>
      </w:r>
      <w:r>
        <w:t>However,</w:t>
      </w:r>
      <w:r w:rsidR="003E24F4">
        <w:t xml:space="preserve"> such a measure is not available, so we must</w:t>
      </w:r>
      <w:r>
        <w:t xml:space="preserve"> assume that such regulatory authority is reflected in </w:t>
      </w:r>
      <w:r w:rsidR="007813AD" w:rsidRPr="0040446D">
        <w:rPr>
          <w:i/>
        </w:rPr>
        <w:t>Reg</w:t>
      </w:r>
      <w:r>
        <w:t>.</w:t>
      </w:r>
    </w:p>
    <w:p w:rsidR="008E328F" w:rsidRDefault="00F8191C" w:rsidP="00FA418C">
      <w:pPr>
        <w:spacing w:line="480" w:lineRule="auto"/>
        <w:ind w:right="1440" w:firstLine="720"/>
      </w:pPr>
      <w:r>
        <w:t xml:space="preserve">To reflect industry cost differences between states, we use the state average annual </w:t>
      </w:r>
      <w:r w:rsidR="00BB2392">
        <w:t xml:space="preserve">agent wage, denoted </w:t>
      </w:r>
      <w:r w:rsidR="00BB2392" w:rsidRPr="00BB2392">
        <w:rPr>
          <w:i/>
        </w:rPr>
        <w:t>Wage</w:t>
      </w:r>
      <w:r w:rsidR="00BB2392">
        <w:rPr>
          <w:i/>
        </w:rPr>
        <w:t>,</w:t>
      </w:r>
      <w:r w:rsidR="00BB2392">
        <w:t xml:space="preserve"> </w:t>
      </w:r>
      <w:r>
        <w:t>obtained from the Quarterly Census of Employment and Wages.  This follows other studies that frequently use the wage in manufacturing to reflect labor costs across industries. </w:t>
      </w:r>
      <w:r w:rsidR="005F1CE0">
        <w:t>W</w:t>
      </w:r>
      <w:r w:rsidR="003E24F4">
        <w:t>e believe</w:t>
      </w:r>
      <w:r>
        <w:t xml:space="preserve"> that this variable </w:t>
      </w:r>
      <w:r w:rsidR="003E24F4">
        <w:t>accurately</w:t>
      </w:r>
      <w:r>
        <w:t xml:space="preserve"> reflects the interstate wage differential for the p</w:t>
      </w:r>
      <w:r w:rsidR="003E24F4">
        <w:t>roperty-casualty</w:t>
      </w:r>
      <w:r>
        <w:t xml:space="preserve"> industry</w:t>
      </w:r>
      <w:r w:rsidR="005F1CE0">
        <w:t>; it reflects an occupation</w:t>
      </w:r>
      <w:r>
        <w:t> </w:t>
      </w:r>
      <w:r w:rsidR="005F1CE0">
        <w:t xml:space="preserve">that is uniform over time and across states </w:t>
      </w:r>
      <w:r w:rsidR="00EB63D6">
        <w:t xml:space="preserve">and </w:t>
      </w:r>
      <w:r w:rsidR="005F1CE0">
        <w:t xml:space="preserve">that reflects the wage of an occupation that is common in the insurance industry.  </w:t>
      </w:r>
      <w:r>
        <w:t>As will be discussed more thoroughly</w:t>
      </w:r>
      <w:r w:rsidR="003E24F4">
        <w:t xml:space="preserve"> below</w:t>
      </w:r>
      <w:r>
        <w:t xml:space="preserve">, </w:t>
      </w:r>
      <w:r w:rsidR="003E24F4">
        <w:t xml:space="preserve">wages for </w:t>
      </w:r>
      <w:r>
        <w:t xml:space="preserve">several other </w:t>
      </w:r>
      <w:r w:rsidR="003E24F4">
        <w:t>occupations</w:t>
      </w:r>
      <w:r>
        <w:t xml:space="preserve"> were tried with similar</w:t>
      </w:r>
      <w:r w:rsidR="00BB2392">
        <w:t xml:space="preserve"> empirical</w:t>
      </w:r>
      <w:r>
        <w:t xml:space="preserve"> results</w:t>
      </w:r>
      <w:r w:rsidR="003E24F4">
        <w:t>.</w:t>
      </w:r>
    </w:p>
    <w:p w:rsidR="001413D9" w:rsidRDefault="00745EB1" w:rsidP="00FA418C">
      <w:pPr>
        <w:autoSpaceDE w:val="0"/>
        <w:autoSpaceDN w:val="0"/>
        <w:adjustRightInd w:val="0"/>
        <w:spacing w:line="480" w:lineRule="auto"/>
        <w:ind w:right="1440" w:firstLine="720"/>
      </w:pPr>
      <w:r>
        <w:t xml:space="preserve">To this set of variables we add a set of state control variables that reflect factors </w:t>
      </w:r>
      <w:r w:rsidR="003340E0">
        <w:t>which</w:t>
      </w:r>
      <w:r w:rsidR="00FF0012">
        <w:t xml:space="preserve"> </w:t>
      </w:r>
      <w:r>
        <w:t>might affect the location</w:t>
      </w:r>
      <w:r w:rsidR="00BB2392">
        <w:t xml:space="preserve"> and employment</w:t>
      </w:r>
      <w:r>
        <w:t xml:space="preserve"> of </w:t>
      </w:r>
      <w:r w:rsidR="009241EE">
        <w:t>property-</w:t>
      </w:r>
      <w:r w:rsidR="000E16EC">
        <w:t>casualty</w:t>
      </w:r>
      <w:r>
        <w:t xml:space="preserve"> firms.  We expect that insurance companies are more likely to locate in metropolitan areas, so we include the percentage of the population in metropolitan areas</w:t>
      </w:r>
      <w:r w:rsidR="001643A2">
        <w:t>, denote</w:t>
      </w:r>
      <w:r w:rsidR="00F8191C">
        <w:t>d</w:t>
      </w:r>
      <w:r w:rsidR="001643A2">
        <w:t xml:space="preserve"> </w:t>
      </w:r>
      <w:r w:rsidR="001643A2" w:rsidRPr="00075E11">
        <w:rPr>
          <w:i/>
        </w:rPr>
        <w:t>Metro</w:t>
      </w:r>
      <w:r>
        <w:t xml:space="preserve">.  </w:t>
      </w:r>
      <w:r w:rsidR="00E860D7">
        <w:t xml:space="preserve">This was obtained from various issues of the </w:t>
      </w:r>
      <w:r w:rsidR="00E860D7" w:rsidRPr="00CB3BA3">
        <w:rPr>
          <w:i/>
        </w:rPr>
        <w:t>Statistical Abstract</w:t>
      </w:r>
      <w:r w:rsidR="00E860D7">
        <w:t xml:space="preserve">, although we had to </w:t>
      </w:r>
      <w:r w:rsidR="00B3020D">
        <w:t xml:space="preserve">interpolate </w:t>
      </w:r>
      <w:r w:rsidR="00E860D7">
        <w:t xml:space="preserve">the values for some years.   </w:t>
      </w:r>
      <w:r>
        <w:t xml:space="preserve">Some studies of the effect of taxes on employment include a set of fiscal variables, including both revenue and </w:t>
      </w:r>
      <w:r>
        <w:lastRenderedPageBreak/>
        <w:t xml:space="preserve">expenditure (see Helms 1985). However, the premium tax is the principal tax paid by property-casualty firms, and thus </w:t>
      </w:r>
      <w:r w:rsidR="007647B6">
        <w:t>most other government revenue sources are not relevant</w:t>
      </w:r>
      <w:r w:rsidR="0068755A">
        <w:t xml:space="preserve"> to the location decision</w:t>
      </w:r>
      <w:r>
        <w:t>.  However, we do include income tax revenue per dollar of personal income</w:t>
      </w:r>
      <w:r w:rsidR="001643A2">
        <w:t>, denote</w:t>
      </w:r>
      <w:r w:rsidR="00F8191C">
        <w:t>d</w:t>
      </w:r>
      <w:r w:rsidR="001643A2">
        <w:t xml:space="preserve"> </w:t>
      </w:r>
      <w:r w:rsidR="001643A2" w:rsidRPr="00075E11">
        <w:rPr>
          <w:i/>
        </w:rPr>
        <w:t>PIT,</w:t>
      </w:r>
      <w:r>
        <w:t xml:space="preserve"> and sales tax revenue per dollar of </w:t>
      </w:r>
      <w:r w:rsidR="008063C6">
        <w:t xml:space="preserve">personal </w:t>
      </w:r>
      <w:r>
        <w:t>income</w:t>
      </w:r>
      <w:r w:rsidR="001643A2">
        <w:t>,</w:t>
      </w:r>
      <w:r>
        <w:t xml:space="preserve"> </w:t>
      </w:r>
      <w:r w:rsidR="001643A2">
        <w:t xml:space="preserve">denoted </w:t>
      </w:r>
      <w:r w:rsidR="001643A2" w:rsidRPr="00075E11">
        <w:rPr>
          <w:i/>
        </w:rPr>
        <w:t>ST</w:t>
      </w:r>
      <w:r w:rsidR="001643A2">
        <w:t xml:space="preserve">, </w:t>
      </w:r>
      <w:r>
        <w:t>since income</w:t>
      </w:r>
      <w:r w:rsidR="001643A2">
        <w:t xml:space="preserve"> </w:t>
      </w:r>
      <w:r>
        <w:t xml:space="preserve">taxes </w:t>
      </w:r>
      <w:r w:rsidR="00E860D7">
        <w:t xml:space="preserve">and sales taxes </w:t>
      </w:r>
      <w:r>
        <w:t xml:space="preserve">might affect </w:t>
      </w:r>
      <w:r w:rsidR="007252B4">
        <w:t xml:space="preserve">the </w:t>
      </w:r>
      <w:r>
        <w:t xml:space="preserve">executive decision </w:t>
      </w:r>
      <w:r w:rsidR="000A779D">
        <w:t xml:space="preserve">of </w:t>
      </w:r>
      <w:r>
        <w:t xml:space="preserve">where to locate the firm.  </w:t>
      </w:r>
      <w:r w:rsidR="000A779D">
        <w:t xml:space="preserve">Individual </w:t>
      </w:r>
      <w:r w:rsidR="00E860D7">
        <w:t xml:space="preserve">income tax and sales tax revenue were obtained from the Census Bureau and personal income came from the Bureau of Economic Analysis (BEA). </w:t>
      </w:r>
      <w:r w:rsidR="001413D9">
        <w:t>We do not include government expenditure variables since we do not expect insurance firms to be responsive to interstate differences in government expenditures.</w:t>
      </w:r>
      <w:r w:rsidR="001413D9">
        <w:rPr>
          <w:rStyle w:val="FootnoteReference"/>
        </w:rPr>
        <w:footnoteReference w:id="14"/>
      </w:r>
      <w:r w:rsidR="00C91D67" w:rsidRPr="00C91D67">
        <w:t xml:space="preserve"> </w:t>
      </w:r>
      <w:r w:rsidR="00C91D67">
        <w:t xml:space="preserve">The percentage of the population with at least a college degree, denoted </w:t>
      </w:r>
      <w:r w:rsidR="00C91D67" w:rsidRPr="00075E11">
        <w:rPr>
          <w:i/>
        </w:rPr>
        <w:t>BA,</w:t>
      </w:r>
      <w:r w:rsidR="00C91D67">
        <w:t xml:space="preserve"> (from the Census Bureau) is included as a measure of the labor force the industry is likely to draw from in a state.  </w:t>
      </w:r>
    </w:p>
    <w:p w:rsidR="00BB2392" w:rsidRDefault="00BB2392" w:rsidP="00FA418C">
      <w:pPr>
        <w:autoSpaceDE w:val="0"/>
        <w:autoSpaceDN w:val="0"/>
        <w:adjustRightInd w:val="0"/>
        <w:spacing w:line="480" w:lineRule="auto"/>
        <w:ind w:right="1440" w:firstLine="720"/>
      </w:pPr>
      <w:r>
        <w:t xml:space="preserve">The percentage of the population 65 and over, denoted </w:t>
      </w:r>
      <w:r w:rsidRPr="00075E11">
        <w:rPr>
          <w:i/>
        </w:rPr>
        <w:t>Over65</w:t>
      </w:r>
      <w:r>
        <w:t xml:space="preserve">, (from the Census Bureau), the percent employed in manufacturing, denoted </w:t>
      </w:r>
      <w:r w:rsidRPr="00075E11">
        <w:rPr>
          <w:i/>
        </w:rPr>
        <w:t>MFG</w:t>
      </w:r>
      <w:r>
        <w:rPr>
          <w:i/>
        </w:rPr>
        <w:t>, (</w:t>
      </w:r>
      <w:r>
        <w:t>from the Bureau of Labor Statistics), and i</w:t>
      </w:r>
      <w:r w:rsidR="00745EB1">
        <w:t>ncome per capita</w:t>
      </w:r>
      <w:r w:rsidR="00D67128">
        <w:t xml:space="preserve"> (in thousands)</w:t>
      </w:r>
      <w:r w:rsidR="001643A2">
        <w:t xml:space="preserve">, denoted </w:t>
      </w:r>
      <w:proofErr w:type="spellStart"/>
      <w:r w:rsidR="001643A2" w:rsidRPr="00075E11">
        <w:rPr>
          <w:i/>
        </w:rPr>
        <w:t>P</w:t>
      </w:r>
      <w:r w:rsidR="0009374F">
        <w:rPr>
          <w:i/>
        </w:rPr>
        <w:t>CI</w:t>
      </w:r>
      <w:r w:rsidR="001643A2" w:rsidRPr="00075E11">
        <w:rPr>
          <w:i/>
        </w:rPr>
        <w:t>nc</w:t>
      </w:r>
      <w:proofErr w:type="spellEnd"/>
      <w:r w:rsidR="001643A2">
        <w:t xml:space="preserve">, </w:t>
      </w:r>
      <w:r w:rsidR="00E860D7">
        <w:t>(from the BEA)</w:t>
      </w:r>
      <w:r w:rsidR="00CC7F80">
        <w:t>,</w:t>
      </w:r>
      <w:r w:rsidR="00745EB1">
        <w:t xml:space="preserve"> are included</w:t>
      </w:r>
      <w:r w:rsidR="00CC7F80">
        <w:t xml:space="preserve"> as additional measures of state characteristics that may be important to an insurance company</w:t>
      </w:r>
      <w:r w:rsidR="003E24F4">
        <w:t>’s</w:t>
      </w:r>
      <w:r w:rsidR="00CC7F80">
        <w:t xml:space="preserve"> location decision.  </w:t>
      </w:r>
      <w:r>
        <w:t xml:space="preserve">We include </w:t>
      </w:r>
      <w:r w:rsidRPr="00BB2392">
        <w:rPr>
          <w:i/>
        </w:rPr>
        <w:t>Over65</w:t>
      </w:r>
      <w:r>
        <w:t xml:space="preserve"> to allow for the possibility that a larger elderly population might be reflective of other state characteristics</w:t>
      </w:r>
      <w:r w:rsidR="00264209">
        <w:t>, for example, perhaps the attitude or policies toward business, that</w:t>
      </w:r>
      <w:r>
        <w:t xml:space="preserve"> affect location decisions.  We include </w:t>
      </w:r>
      <w:r w:rsidRPr="00075E11">
        <w:rPr>
          <w:i/>
        </w:rPr>
        <w:t>MFG</w:t>
      </w:r>
      <w:r>
        <w:t xml:space="preserve"> as a control for industrial differences across states</w:t>
      </w:r>
      <w:r w:rsidR="00CC6859">
        <w:t>, on the assumption that i</w:t>
      </w:r>
      <w:r>
        <w:t xml:space="preserve">nsurance firms might be </w:t>
      </w:r>
      <w:r w:rsidR="00CC6859">
        <w:t xml:space="preserve">more </w:t>
      </w:r>
      <w:r>
        <w:t xml:space="preserve">attracted to states that are less industrial.  </w:t>
      </w:r>
      <w:r w:rsidR="00CC7F80">
        <w:t xml:space="preserve">Higher per capita income might suggest </w:t>
      </w:r>
      <w:r w:rsidR="0094502F">
        <w:t xml:space="preserve">the state has </w:t>
      </w:r>
      <w:r w:rsidR="00CC7F80">
        <w:t>greater amenities</w:t>
      </w:r>
      <w:r w:rsidR="0094502F">
        <w:t xml:space="preserve"> that an insurance firm might value.  In addition, these variables might </w:t>
      </w:r>
      <w:r w:rsidR="00745EB1">
        <w:t>reflect differences in the demand for insurance across states</w:t>
      </w:r>
      <w:r w:rsidR="00E860D7">
        <w:t>.</w:t>
      </w:r>
      <w:r w:rsidR="00745EB1">
        <w:t xml:space="preserve"> </w:t>
      </w:r>
      <w:r w:rsidR="0068755A">
        <w:t xml:space="preserve"> However, </w:t>
      </w:r>
      <w:r w:rsidR="00BB2930">
        <w:t>given that only about 6 percent of premiums are written by firms operating in less than 10 states,</w:t>
      </w:r>
      <w:r w:rsidR="00BB2930" w:rsidDel="00BB2930">
        <w:t xml:space="preserve"> </w:t>
      </w:r>
      <w:r w:rsidR="0068755A">
        <w:t>we expect that</w:t>
      </w:r>
      <w:r w:rsidR="00745F3D">
        <w:t xml:space="preserve"> </w:t>
      </w:r>
      <w:r w:rsidR="0068755A">
        <w:t>location decision</w:t>
      </w:r>
      <w:r w:rsidR="00BB2930">
        <w:t xml:space="preserve">s </w:t>
      </w:r>
      <w:r w:rsidR="00745F3D">
        <w:t xml:space="preserve">involving most </w:t>
      </w:r>
      <w:r w:rsidR="00745F3D">
        <w:lastRenderedPageBreak/>
        <w:t xml:space="preserve">employment </w:t>
      </w:r>
      <w:r w:rsidR="00BB2930">
        <w:t>are</w:t>
      </w:r>
      <w:r w:rsidR="00745F3D">
        <w:t xml:space="preserve"> not</w:t>
      </w:r>
      <w:r w:rsidR="0068755A">
        <w:t xml:space="preserve"> based on the size of the state’s market. </w:t>
      </w:r>
      <w:r w:rsidR="0094502F">
        <w:t xml:space="preserve"> We </w:t>
      </w:r>
      <w:r w:rsidR="00745F3D">
        <w:t xml:space="preserve">do not </w:t>
      </w:r>
      <w:r w:rsidR="0094502F">
        <w:t xml:space="preserve">have </w:t>
      </w:r>
      <w:r w:rsidR="00D53E0E">
        <w:t xml:space="preserve">strong </w:t>
      </w:r>
      <w:r w:rsidR="0094502F">
        <w:t>priors regarding the sign of the coefficients on these three control variables</w:t>
      </w:r>
      <w:r w:rsidR="00D53E0E">
        <w:t xml:space="preserve">, but we expect the coefficient on </w:t>
      </w:r>
      <w:proofErr w:type="spellStart"/>
      <w:r w:rsidR="007813AD" w:rsidRPr="0040446D">
        <w:rPr>
          <w:i/>
        </w:rPr>
        <w:t>PCInc</w:t>
      </w:r>
      <w:proofErr w:type="spellEnd"/>
      <w:r w:rsidR="00D53E0E">
        <w:t xml:space="preserve"> to b</w:t>
      </w:r>
      <w:r w:rsidR="00745F3D">
        <w:t>e positive and the coefficient</w:t>
      </w:r>
      <w:r w:rsidR="00CC6859">
        <w:t>s</w:t>
      </w:r>
      <w:r w:rsidR="00745F3D">
        <w:t xml:space="preserve"> on</w:t>
      </w:r>
      <w:r w:rsidR="00D53E0E">
        <w:t xml:space="preserve"> </w:t>
      </w:r>
      <w:r w:rsidR="007813AD" w:rsidRPr="0040446D">
        <w:rPr>
          <w:i/>
        </w:rPr>
        <w:t>MFG</w:t>
      </w:r>
      <w:r w:rsidR="00D53E0E">
        <w:t xml:space="preserve"> </w:t>
      </w:r>
      <w:r w:rsidR="00CC6859">
        <w:t xml:space="preserve">and </w:t>
      </w:r>
      <w:r w:rsidR="00CC6859" w:rsidRPr="008934BE">
        <w:rPr>
          <w:i/>
        </w:rPr>
        <w:t>Over65</w:t>
      </w:r>
      <w:r w:rsidR="00CC6859">
        <w:t xml:space="preserve"> </w:t>
      </w:r>
      <w:r w:rsidR="00D53E0E">
        <w:t>to be negative.</w:t>
      </w:r>
      <w:r w:rsidR="0094502F">
        <w:t xml:space="preserve"> </w:t>
      </w:r>
    </w:p>
    <w:p w:rsidR="001413D9" w:rsidRDefault="000E4D86" w:rsidP="00FA418C">
      <w:pPr>
        <w:autoSpaceDE w:val="0"/>
        <w:autoSpaceDN w:val="0"/>
        <w:adjustRightInd w:val="0"/>
        <w:spacing w:line="480" w:lineRule="auto"/>
        <w:ind w:right="1440" w:firstLine="720"/>
      </w:pPr>
      <w:r>
        <w:t>We</w:t>
      </w:r>
      <w:r w:rsidR="00BB2392">
        <w:t xml:space="preserve"> also</w:t>
      </w:r>
      <w:r>
        <w:t xml:space="preserve"> include</w:t>
      </w:r>
      <w:r w:rsidR="00BB2392">
        <w:t>d</w:t>
      </w:r>
      <w:r>
        <w:t xml:space="preserve"> </w:t>
      </w:r>
      <w:r w:rsidR="009D5A03">
        <w:t>a state</w:t>
      </w:r>
      <w:r w:rsidR="00CC6859">
        <w:t>-level</w:t>
      </w:r>
      <w:r w:rsidR="009D5A03">
        <w:t xml:space="preserve"> </w:t>
      </w:r>
      <w:proofErr w:type="spellStart"/>
      <w:r w:rsidR="009D5A03">
        <w:t>Herfindahl</w:t>
      </w:r>
      <w:proofErr w:type="spellEnd"/>
      <w:r w:rsidR="009D5A03">
        <w:t xml:space="preserve"> Index, denoted </w:t>
      </w:r>
      <w:r w:rsidR="009D5A03" w:rsidRPr="00931273">
        <w:rPr>
          <w:i/>
        </w:rPr>
        <w:t>HI</w:t>
      </w:r>
      <w:r w:rsidR="00800518">
        <w:rPr>
          <w:i/>
        </w:rPr>
        <w:t xml:space="preserve">. </w:t>
      </w:r>
      <w:r w:rsidR="00800518">
        <w:t xml:space="preserve"> </w:t>
      </w:r>
      <w:r w:rsidR="009D5A03">
        <w:t xml:space="preserve">To calculate </w:t>
      </w:r>
      <w:r w:rsidR="007813AD" w:rsidRPr="0040446D">
        <w:rPr>
          <w:i/>
        </w:rPr>
        <w:t>HI</w:t>
      </w:r>
      <w:r w:rsidR="009D5A03">
        <w:t xml:space="preserve"> we used the market share in the state for each </w:t>
      </w:r>
      <w:r w:rsidR="00C0293B">
        <w:t xml:space="preserve">insurance </w:t>
      </w:r>
      <w:r w:rsidR="009D5A03">
        <w:t xml:space="preserve">firm writing policies in the state.  We include </w:t>
      </w:r>
      <w:r w:rsidR="009D5A03" w:rsidRPr="004F7AF7">
        <w:rPr>
          <w:i/>
        </w:rPr>
        <w:t>HI</w:t>
      </w:r>
      <w:r w:rsidR="009D5A03">
        <w:t xml:space="preserve"> to control for the degree of monopoly power in the state</w:t>
      </w:r>
      <w:r w:rsidR="009C7FAF">
        <w:t>.  T</w:t>
      </w:r>
      <w:r w:rsidR="009D5A03">
        <w:t xml:space="preserve">he ability to shift the burden of the tax on to consumers in the state </w:t>
      </w:r>
      <w:r w:rsidR="00964B92">
        <w:t>is expected to be positively related to the degree of monopoly power</w:t>
      </w:r>
      <w:r w:rsidR="00867FC0">
        <w:t xml:space="preserve"> and consequently positively related to the </w:t>
      </w:r>
      <w:proofErr w:type="spellStart"/>
      <w:r w:rsidR="00867FC0">
        <w:t>Herfindahl</w:t>
      </w:r>
      <w:proofErr w:type="spellEnd"/>
      <w:r w:rsidR="00867FC0">
        <w:t xml:space="preserve"> Index</w:t>
      </w:r>
      <w:r w:rsidR="00BB2392">
        <w:t>.  In</w:t>
      </w:r>
      <w:r w:rsidR="00964B92">
        <w:t xml:space="preserve"> states</w:t>
      </w:r>
      <w:r w:rsidR="00BB2392">
        <w:t xml:space="preserve"> where insurance firms have monopoly power</w:t>
      </w:r>
      <w:r w:rsidR="00964B92">
        <w:t xml:space="preserve"> it is anticipated that </w:t>
      </w:r>
      <w:r w:rsidR="009D5A03">
        <w:t>the tax rate would have less effect on employment.</w:t>
      </w:r>
      <w:r>
        <w:t xml:space="preserve">  </w:t>
      </w:r>
      <w:r w:rsidR="00E860D7">
        <w:t>Finally</w:t>
      </w:r>
      <w:r w:rsidR="007252B4">
        <w:t>,</w:t>
      </w:r>
      <w:r w:rsidR="00E860D7">
        <w:t xml:space="preserve"> we include year </w:t>
      </w:r>
      <w:r w:rsidR="0094502F">
        <w:t>dummies</w:t>
      </w:r>
      <w:r w:rsidR="00E860D7">
        <w:t xml:space="preserve">.  </w:t>
      </w:r>
    </w:p>
    <w:p w:rsidR="00DC3DD0" w:rsidRDefault="00745EB1" w:rsidP="00FA418C">
      <w:pPr>
        <w:autoSpaceDE w:val="0"/>
        <w:autoSpaceDN w:val="0"/>
        <w:adjustRightInd w:val="0"/>
        <w:spacing w:line="480" w:lineRule="auto"/>
        <w:ind w:right="1440" w:firstLine="720"/>
      </w:pPr>
      <w:r>
        <w:t>Table 1 presents descriptive statistics for the entire period.</w:t>
      </w:r>
      <w:r w:rsidR="00FF0012">
        <w:t xml:space="preserve">  </w:t>
      </w:r>
      <w:r w:rsidR="00985185">
        <w:t xml:space="preserve">For our </w:t>
      </w:r>
      <w:r w:rsidR="0068755A">
        <w:t>panel</w:t>
      </w:r>
      <w:r w:rsidR="00985185">
        <w:t xml:space="preserve"> the average foreign </w:t>
      </w:r>
      <w:r w:rsidR="008A24D9">
        <w:t xml:space="preserve">tax </w:t>
      </w:r>
      <w:r w:rsidR="00985185">
        <w:t>rate is 2.</w:t>
      </w:r>
      <w:r w:rsidR="007C6860">
        <w:t>27</w:t>
      </w:r>
      <w:r w:rsidR="00985185">
        <w:t xml:space="preserve"> percent</w:t>
      </w:r>
      <w:r w:rsidR="008A24D9">
        <w:t>, while the average effective domestic rate is 2.3 percent</w:t>
      </w:r>
      <w:r w:rsidR="00985185">
        <w:t xml:space="preserve">. </w:t>
      </w:r>
      <w:r w:rsidR="00CC6859">
        <w:t xml:space="preserve">There is a large variation in tax rates, with the </w:t>
      </w:r>
      <w:r w:rsidR="007C6860">
        <w:t xml:space="preserve">foreign rate </w:t>
      </w:r>
      <w:r w:rsidR="00CC6859">
        <w:t xml:space="preserve">ranging from near zero </w:t>
      </w:r>
      <w:r w:rsidR="007C6860">
        <w:t>for Michigan which had a single business tax rate based upon premiums</w:t>
      </w:r>
      <w:r w:rsidR="00CC6859">
        <w:t xml:space="preserve"> to 4.75 percent in Georgia</w:t>
      </w:r>
      <w:r w:rsidR="007C6860">
        <w:t xml:space="preserve">. </w:t>
      </w:r>
      <w:r w:rsidR="00985185">
        <w:t xml:space="preserve">In turn, the average </w:t>
      </w:r>
      <w:r w:rsidR="007252B4">
        <w:t xml:space="preserve">within state </w:t>
      </w:r>
      <w:r w:rsidR="00985185">
        <w:t xml:space="preserve">difference between the foreign </w:t>
      </w:r>
      <w:r w:rsidR="007C6860">
        <w:t xml:space="preserve">statutory </w:t>
      </w:r>
      <w:r w:rsidR="00985185">
        <w:t xml:space="preserve">and domestic effective rates is approximately </w:t>
      </w:r>
      <w:r w:rsidR="00D67128">
        <w:t>0</w:t>
      </w:r>
      <w:r w:rsidR="00985185">
        <w:t>.</w:t>
      </w:r>
      <w:r w:rsidR="007C6860">
        <w:t xml:space="preserve">02 </w:t>
      </w:r>
      <w:r w:rsidR="00985185">
        <w:t>percent (ranging from -5.</w:t>
      </w:r>
      <w:r w:rsidR="007C6860">
        <w:t xml:space="preserve">9 </w:t>
      </w:r>
      <w:r w:rsidR="00985185">
        <w:t xml:space="preserve">percent to 3.7 percent) reflecting a great deal of </w:t>
      </w:r>
      <w:r w:rsidR="003340E0">
        <w:t xml:space="preserve">heterogeneity </w:t>
      </w:r>
      <w:r w:rsidR="00985185">
        <w:t>among the states.</w:t>
      </w:r>
    </w:p>
    <w:p w:rsidR="00FF7541" w:rsidRDefault="00FF0012" w:rsidP="00FA418C">
      <w:pPr>
        <w:autoSpaceDE w:val="0"/>
        <w:autoSpaceDN w:val="0"/>
        <w:adjustRightInd w:val="0"/>
        <w:spacing w:line="480" w:lineRule="auto"/>
        <w:ind w:right="1440" w:firstLine="720"/>
        <w:jc w:val="center"/>
      </w:pPr>
      <w:r>
        <w:t>[Insert Table 1 here]</w:t>
      </w:r>
    </w:p>
    <w:p w:rsidR="00E22D8A" w:rsidRPr="00C0293B" w:rsidRDefault="00085F56" w:rsidP="00C0293B">
      <w:pPr>
        <w:pStyle w:val="ListParagraph"/>
        <w:numPr>
          <w:ilvl w:val="0"/>
          <w:numId w:val="3"/>
        </w:numPr>
        <w:spacing w:line="480" w:lineRule="auto"/>
        <w:ind w:right="1440"/>
        <w:rPr>
          <w:b/>
        </w:rPr>
      </w:pPr>
      <w:r w:rsidRPr="00C0293B">
        <w:rPr>
          <w:b/>
        </w:rPr>
        <w:t>Results</w:t>
      </w:r>
    </w:p>
    <w:p w:rsidR="001D6D42" w:rsidRPr="00C0293B" w:rsidRDefault="00E22D8A" w:rsidP="00C0293B">
      <w:pPr>
        <w:numPr>
          <w:ilvl w:val="1"/>
          <w:numId w:val="3"/>
        </w:numPr>
        <w:spacing w:line="480" w:lineRule="auto"/>
        <w:ind w:left="1080" w:right="1440"/>
        <w:rPr>
          <w:b/>
          <w:i/>
        </w:rPr>
      </w:pPr>
      <w:r w:rsidRPr="00C0293B">
        <w:rPr>
          <w:b/>
          <w:i/>
        </w:rPr>
        <w:t xml:space="preserve"> Basic Results</w:t>
      </w:r>
      <w:r w:rsidR="00B26BF2" w:rsidRPr="00C0293B">
        <w:rPr>
          <w:b/>
          <w:i/>
        </w:rPr>
        <w:t xml:space="preserve"> </w:t>
      </w:r>
    </w:p>
    <w:p w:rsidR="00C57F2F" w:rsidRDefault="008E27A0" w:rsidP="00FA418C">
      <w:pPr>
        <w:spacing w:line="480" w:lineRule="auto"/>
        <w:ind w:right="1440" w:firstLine="720"/>
      </w:pPr>
      <w:r>
        <w:t xml:space="preserve">Table 2 presents the </w:t>
      </w:r>
      <w:r w:rsidR="00BC5F43">
        <w:t xml:space="preserve">basic </w:t>
      </w:r>
      <w:r w:rsidR="003112AA">
        <w:t xml:space="preserve">panel </w:t>
      </w:r>
      <w:r w:rsidR="00D67128">
        <w:t xml:space="preserve">OLS </w:t>
      </w:r>
      <w:r w:rsidR="00BC5F43">
        <w:t xml:space="preserve">regressions </w:t>
      </w:r>
      <w:r>
        <w:t>results</w:t>
      </w:r>
      <w:r w:rsidR="00D3174A">
        <w:t>,</w:t>
      </w:r>
      <w:r w:rsidR="00BC5F43">
        <w:t xml:space="preserve"> </w:t>
      </w:r>
      <w:r w:rsidR="00D3174A">
        <w:t xml:space="preserve">without accounting for possible </w:t>
      </w:r>
      <w:proofErr w:type="spellStart"/>
      <w:r w:rsidR="00D3174A">
        <w:t>endogeneity</w:t>
      </w:r>
      <w:proofErr w:type="spellEnd"/>
      <w:r w:rsidR="00785E7F">
        <w:t xml:space="preserve"> of </w:t>
      </w:r>
      <w:proofErr w:type="spellStart"/>
      <w:r w:rsidR="007813AD" w:rsidRPr="0040446D">
        <w:rPr>
          <w:i/>
        </w:rPr>
        <w:t>FRate</w:t>
      </w:r>
      <w:proofErr w:type="spellEnd"/>
      <w:r w:rsidR="00D3174A">
        <w:t xml:space="preserve">, </w:t>
      </w:r>
      <w:r w:rsidR="00BC5F43">
        <w:t>using total property-</w:t>
      </w:r>
      <w:r w:rsidR="000E16EC">
        <w:t>casualty</w:t>
      </w:r>
      <w:r>
        <w:t xml:space="preserve"> employment</w:t>
      </w:r>
      <w:r w:rsidR="001A0ADE">
        <w:t xml:space="preserve"> (in </w:t>
      </w:r>
      <w:r w:rsidR="000A779D">
        <w:t>thousands</w:t>
      </w:r>
      <w:r w:rsidR="001A0ADE">
        <w:t>)</w:t>
      </w:r>
      <w:r w:rsidR="00D67128">
        <w:t xml:space="preserve"> as the dependent variable</w:t>
      </w:r>
      <w:r>
        <w:t>.</w:t>
      </w:r>
      <w:r w:rsidR="00C744FB">
        <w:rPr>
          <w:rStyle w:val="FootnoteReference"/>
        </w:rPr>
        <w:footnoteReference w:id="15"/>
      </w:r>
      <w:r w:rsidR="001A0ADE">
        <w:t xml:space="preserve">  These results are from models with robust standard errors</w:t>
      </w:r>
      <w:r w:rsidR="0038700B">
        <w:t xml:space="preserve">; we do not report the </w:t>
      </w:r>
      <w:r w:rsidR="0038700B">
        <w:lastRenderedPageBreak/>
        <w:t>coefficients on the year dummies</w:t>
      </w:r>
      <w:r w:rsidR="001A0ADE">
        <w:t xml:space="preserve">. </w:t>
      </w:r>
      <w:r w:rsidR="00BC5F43">
        <w:t xml:space="preserve"> </w:t>
      </w:r>
      <w:r w:rsidR="004857F3">
        <w:t>We report regressions with</w:t>
      </w:r>
      <w:r w:rsidR="005F1CE0">
        <w:t>out</w:t>
      </w:r>
      <w:r w:rsidR="004857F3">
        <w:t xml:space="preserve"> and with the </w:t>
      </w:r>
      <w:r w:rsidR="00E22D8A">
        <w:t xml:space="preserve">state </w:t>
      </w:r>
      <w:r w:rsidR="004857F3">
        <w:t xml:space="preserve">control variables in order to illustrate </w:t>
      </w:r>
      <w:r w:rsidR="00E22D8A">
        <w:t>how our basic</w:t>
      </w:r>
      <w:r w:rsidR="004857F3">
        <w:t xml:space="preserve"> results are </w:t>
      </w:r>
      <w:r w:rsidR="00E22D8A">
        <w:t xml:space="preserve">affected by </w:t>
      </w:r>
      <w:r w:rsidR="004857F3">
        <w:t xml:space="preserve">the inclusion of the </w:t>
      </w:r>
      <w:r w:rsidR="00E22D8A">
        <w:t xml:space="preserve">state </w:t>
      </w:r>
      <w:r w:rsidR="004857F3">
        <w:t>control</w:t>
      </w:r>
      <w:r w:rsidR="00E22D8A">
        <w:t>s</w:t>
      </w:r>
      <w:r w:rsidR="004857F3">
        <w:t xml:space="preserve">. </w:t>
      </w:r>
      <w:r w:rsidR="00BC5F43">
        <w:t xml:space="preserve">The first column of Table 2 gives the results with no </w:t>
      </w:r>
      <w:r w:rsidR="0038700B">
        <w:t xml:space="preserve">state </w:t>
      </w:r>
      <w:r w:rsidR="00BC5F43">
        <w:t>control variables included.  The coefficient on the foreign tax rate</w:t>
      </w:r>
      <w:r w:rsidR="00D9760A">
        <w:t xml:space="preserve"> (</w:t>
      </w:r>
      <w:proofErr w:type="spellStart"/>
      <w:r w:rsidR="00D9760A" w:rsidRPr="00075E11">
        <w:rPr>
          <w:i/>
        </w:rPr>
        <w:t>FRate</w:t>
      </w:r>
      <w:proofErr w:type="spellEnd"/>
      <w:r w:rsidR="00D9760A">
        <w:t>)</w:t>
      </w:r>
      <w:r w:rsidR="00BC5F43">
        <w:t xml:space="preserve"> is negative and statistically significant, consistent with the basic hypothesis.  The implied elasticity at the sample means is</w:t>
      </w:r>
      <w:r w:rsidR="0038700B">
        <w:t xml:space="preserve"> -</w:t>
      </w:r>
      <w:r w:rsidR="00782524">
        <w:t>0.494</w:t>
      </w:r>
      <w:r w:rsidR="00BC5F43">
        <w:t xml:space="preserve">.  </w:t>
      </w:r>
      <w:r w:rsidR="00C17E51">
        <w:t xml:space="preserve">The </w:t>
      </w:r>
      <w:proofErr w:type="spellStart"/>
      <w:r w:rsidR="00C17E51">
        <w:t>elasticities</w:t>
      </w:r>
      <w:proofErr w:type="spellEnd"/>
      <w:r w:rsidR="00C17E51">
        <w:t xml:space="preserve"> of </w:t>
      </w:r>
      <w:proofErr w:type="spellStart"/>
      <w:r w:rsidR="00C17E51" w:rsidRPr="00B75C99">
        <w:rPr>
          <w:i/>
        </w:rPr>
        <w:t>Emp</w:t>
      </w:r>
      <w:proofErr w:type="spellEnd"/>
      <w:r w:rsidR="00C17E51">
        <w:t xml:space="preserve"> with respect to </w:t>
      </w:r>
      <w:proofErr w:type="spellStart"/>
      <w:r w:rsidR="00C17E51" w:rsidRPr="00B75C99">
        <w:rPr>
          <w:i/>
        </w:rPr>
        <w:t>FRate</w:t>
      </w:r>
      <w:proofErr w:type="spellEnd"/>
      <w:r w:rsidR="00C17E51">
        <w:t xml:space="preserve"> are calculated assuming the </w:t>
      </w:r>
      <w:proofErr w:type="spellStart"/>
      <w:r w:rsidR="00C17E51" w:rsidRPr="00B75C99">
        <w:rPr>
          <w:i/>
        </w:rPr>
        <w:t>DRate</w:t>
      </w:r>
      <w:proofErr w:type="spellEnd"/>
      <w:r w:rsidR="00C0293B">
        <w:t xml:space="preserve"> is fixed, so that </w:t>
      </w:r>
      <w:r w:rsidR="00C0293B" w:rsidRPr="00C0293B">
        <w:rPr>
          <w:i/>
        </w:rPr>
        <w:t>δ</w:t>
      </w:r>
      <w:r w:rsidR="00C17E51">
        <w:t>(</w:t>
      </w:r>
      <w:proofErr w:type="spellStart"/>
      <w:r w:rsidR="00C17E51" w:rsidRPr="00B75C99">
        <w:rPr>
          <w:i/>
        </w:rPr>
        <w:t>Emp</w:t>
      </w:r>
      <w:proofErr w:type="spellEnd"/>
      <w:r w:rsidR="00C17E51">
        <w:rPr>
          <w:i/>
        </w:rPr>
        <w:t>)</w:t>
      </w:r>
      <w:r w:rsidR="00C0293B" w:rsidRPr="00C0293B">
        <w:rPr>
          <w:i/>
        </w:rPr>
        <w:t>/δ</w:t>
      </w:r>
      <w:r w:rsidR="00C17E51">
        <w:t>(</w:t>
      </w:r>
      <w:proofErr w:type="spellStart"/>
      <w:r w:rsidR="00C17E51" w:rsidRPr="00B75C99">
        <w:rPr>
          <w:i/>
        </w:rPr>
        <w:t>FRate</w:t>
      </w:r>
      <w:proofErr w:type="spellEnd"/>
      <w:r w:rsidR="00C17E51">
        <w:rPr>
          <w:i/>
        </w:rPr>
        <w:t>)</w:t>
      </w:r>
      <w:r w:rsidR="00C17E51">
        <w:t xml:space="preserve"> is the sum of the coefficients on </w:t>
      </w:r>
      <w:proofErr w:type="spellStart"/>
      <w:r w:rsidR="00C17E51" w:rsidRPr="00B75C99">
        <w:rPr>
          <w:i/>
        </w:rPr>
        <w:t>FRate</w:t>
      </w:r>
      <w:proofErr w:type="spellEnd"/>
      <w:r w:rsidR="00C17E51">
        <w:t xml:space="preserve"> and </w:t>
      </w:r>
      <w:proofErr w:type="spellStart"/>
      <w:r w:rsidR="00C17E51" w:rsidRPr="00B75C99">
        <w:rPr>
          <w:i/>
        </w:rPr>
        <w:t>DifRate</w:t>
      </w:r>
      <w:proofErr w:type="spellEnd"/>
      <w:r w:rsidR="00C17E51">
        <w:t>. T</w:t>
      </w:r>
      <w:r w:rsidR="00BC5F43">
        <w:t xml:space="preserve">he elasticity is </w:t>
      </w:r>
      <w:r w:rsidR="00782524">
        <w:t>at the mid-point of</w:t>
      </w:r>
      <w:r w:rsidR="00BC5F43">
        <w:t xml:space="preserve"> the range of tax </w:t>
      </w:r>
      <w:proofErr w:type="spellStart"/>
      <w:r w:rsidR="00BC5F43">
        <w:t>elasticities</w:t>
      </w:r>
      <w:proofErr w:type="spellEnd"/>
      <w:r w:rsidR="00BC5F43">
        <w:t xml:space="preserve"> reported by </w:t>
      </w:r>
      <w:proofErr w:type="spellStart"/>
      <w:r w:rsidR="00BC5F43">
        <w:t>Bartik</w:t>
      </w:r>
      <w:proofErr w:type="spellEnd"/>
      <w:r w:rsidR="00BC5F43">
        <w:t xml:space="preserve"> (1992) and Phillips and Goss (1995), who conclude from their literature reviews that the elasticity of interstate economic activity with respect to taxes ranges from -0.15 to -0.85.  </w:t>
      </w:r>
    </w:p>
    <w:p w:rsidR="00B40854" w:rsidRDefault="00711E14" w:rsidP="00FA418C">
      <w:pPr>
        <w:spacing w:line="480" w:lineRule="auto"/>
        <w:ind w:right="1440" w:firstLine="720"/>
      </w:pPr>
      <w:r w:rsidDel="00711E14">
        <w:t xml:space="preserve"> </w:t>
      </w:r>
      <w:r w:rsidR="00990659">
        <w:t>[Insert Table 2 here</w:t>
      </w:r>
      <w:r w:rsidR="00F4618C">
        <w:t>]</w:t>
      </w:r>
      <w:r w:rsidR="00C57F2F">
        <w:t>Our theoretical framework implied that employment should be positively affected by the difference between the foreign and domestic tax rates</w:t>
      </w:r>
      <w:r w:rsidR="00D9760A">
        <w:t xml:space="preserve"> (</w:t>
      </w:r>
      <w:proofErr w:type="spellStart"/>
      <w:r w:rsidR="00C51BB8">
        <w:rPr>
          <w:i/>
        </w:rPr>
        <w:t>DifRate</w:t>
      </w:r>
      <w:proofErr w:type="spellEnd"/>
      <w:r w:rsidR="00D9760A">
        <w:t>)</w:t>
      </w:r>
      <w:r w:rsidR="004578D3">
        <w:t>, given the foreign tax rate</w:t>
      </w:r>
      <w:r w:rsidR="00C57F2F">
        <w:t xml:space="preserve">.  </w:t>
      </w:r>
      <w:r w:rsidR="004578D3">
        <w:t>Consistent with the hypothesis, t</w:t>
      </w:r>
      <w:r w:rsidR="00C57F2F">
        <w:t xml:space="preserve">he coefficient on </w:t>
      </w:r>
      <w:proofErr w:type="spellStart"/>
      <w:r w:rsidR="00C51BB8">
        <w:rPr>
          <w:i/>
        </w:rPr>
        <w:t>DifRate</w:t>
      </w:r>
      <w:proofErr w:type="spellEnd"/>
      <w:r w:rsidR="00C57F2F">
        <w:t xml:space="preserve"> is positive and statistically significant. </w:t>
      </w:r>
      <w:r w:rsidR="0018230A">
        <w:t>The size of the coefficient is small in terms of the variable’s economic importance.</w:t>
      </w:r>
    </w:p>
    <w:p w:rsidR="007E0209" w:rsidRDefault="00C57F2F" w:rsidP="00FA418C">
      <w:pPr>
        <w:spacing w:line="480" w:lineRule="auto"/>
        <w:ind w:right="1440" w:firstLine="720"/>
      </w:pPr>
      <w:r>
        <w:t xml:space="preserve">The coefficient on the regulatory variable </w:t>
      </w:r>
      <w:r w:rsidR="00D9760A">
        <w:t>(</w:t>
      </w:r>
      <w:proofErr w:type="spellStart"/>
      <w:r w:rsidR="00D9760A" w:rsidRPr="00075E11">
        <w:rPr>
          <w:i/>
        </w:rPr>
        <w:t>Reg</w:t>
      </w:r>
      <w:proofErr w:type="spellEnd"/>
      <w:r w:rsidR="00D9760A">
        <w:t xml:space="preserve">) </w:t>
      </w:r>
      <w:r>
        <w:t xml:space="preserve">is </w:t>
      </w:r>
      <w:r w:rsidR="00782524">
        <w:t>positive, but</w:t>
      </w:r>
      <w:r>
        <w:t xml:space="preserve"> </w:t>
      </w:r>
      <w:r w:rsidR="004578D3">
        <w:t xml:space="preserve">statistically </w:t>
      </w:r>
      <w:r w:rsidR="00782524">
        <w:t>in</w:t>
      </w:r>
      <w:r>
        <w:t xml:space="preserve">significant.  This is a rather crude measure of the regulatory environment, </w:t>
      </w:r>
      <w:r w:rsidR="00D3174A">
        <w:t xml:space="preserve">and as noted </w:t>
      </w:r>
      <w:r w:rsidR="007252B4">
        <w:t xml:space="preserve">earlier </w:t>
      </w:r>
      <w:r w:rsidR="00D3174A">
        <w:t>could possibly have either a positive or negative effect on employment</w:t>
      </w:r>
      <w:r>
        <w:t xml:space="preserve">.  </w:t>
      </w:r>
      <w:r w:rsidR="00782524">
        <w:t>T</w:t>
      </w:r>
      <w:r>
        <w:t xml:space="preserve">he coefficient on </w:t>
      </w:r>
      <w:r w:rsidR="00D9760A" w:rsidRPr="00075E11">
        <w:rPr>
          <w:i/>
        </w:rPr>
        <w:t>Wage</w:t>
      </w:r>
      <w:r w:rsidR="00D9760A">
        <w:t xml:space="preserve"> (</w:t>
      </w:r>
      <w:r w:rsidR="00C20E39">
        <w:t xml:space="preserve">state average annual </w:t>
      </w:r>
      <w:r w:rsidR="008063C6">
        <w:t xml:space="preserve">agent </w:t>
      </w:r>
      <w:r w:rsidR="00C20E39">
        <w:t>wage</w:t>
      </w:r>
      <w:r w:rsidR="00D9760A">
        <w:t>)</w:t>
      </w:r>
      <w:r>
        <w:t xml:space="preserve"> is positive and statistically significant, contrary to expect</w:t>
      </w:r>
      <w:r w:rsidR="00BB2392">
        <w:t>ations</w:t>
      </w:r>
      <w:r>
        <w:t xml:space="preserve">.  </w:t>
      </w:r>
      <w:r w:rsidR="00DB743A">
        <w:t>One possible explanation is that insurance firms are not particularly sensitive to the cost of labor</w:t>
      </w:r>
      <w:r w:rsidR="00711E14">
        <w:t xml:space="preserve">, </w:t>
      </w:r>
      <w:r w:rsidR="00C20E39">
        <w:t>for example, they may</w:t>
      </w:r>
      <w:r w:rsidR="00711E14">
        <w:t xml:space="preserve"> hire from the national market and thus are not affected by interstate </w:t>
      </w:r>
      <w:r w:rsidR="00D3174A">
        <w:t xml:space="preserve">wage </w:t>
      </w:r>
      <w:r w:rsidR="00711E14">
        <w:t>difference</w:t>
      </w:r>
      <w:r w:rsidR="00D3174A">
        <w:t>s</w:t>
      </w:r>
      <w:r w:rsidR="00DB743A">
        <w:t xml:space="preserve">.  </w:t>
      </w:r>
      <w:r w:rsidR="00D3174A">
        <w:t xml:space="preserve">Two </w:t>
      </w:r>
      <w:r w:rsidR="00DB743A">
        <w:t>other possibilit</w:t>
      </w:r>
      <w:r w:rsidR="00D3174A">
        <w:t>ies are</w:t>
      </w:r>
      <w:r w:rsidR="00DB743A">
        <w:t xml:space="preserve"> that </w:t>
      </w:r>
      <w:r w:rsidR="00964B92">
        <w:t xml:space="preserve">the </w:t>
      </w:r>
      <w:r w:rsidR="00DB743A">
        <w:t xml:space="preserve">wage </w:t>
      </w:r>
      <w:r w:rsidR="00964B92">
        <w:t xml:space="preserve">variable used </w:t>
      </w:r>
      <w:r w:rsidR="00004987">
        <w:t>do</w:t>
      </w:r>
      <w:r w:rsidR="00D3174A">
        <w:t>es</w:t>
      </w:r>
      <w:r w:rsidR="00004987">
        <w:t xml:space="preserve"> </w:t>
      </w:r>
      <w:r w:rsidR="00DB743A">
        <w:t xml:space="preserve">not </w:t>
      </w:r>
      <w:r w:rsidR="007252B4">
        <w:t xml:space="preserve">accurately </w:t>
      </w:r>
      <w:r w:rsidR="00DB743A">
        <w:t>reflect relevant labor cost for insurance firms</w:t>
      </w:r>
      <w:r w:rsidR="00020D94">
        <w:t xml:space="preserve"> or is reflective of other state conditions that positively affect employment in the industry</w:t>
      </w:r>
      <w:r w:rsidR="00DB743A">
        <w:t xml:space="preserve">.  </w:t>
      </w:r>
      <w:r>
        <w:t xml:space="preserve"> </w:t>
      </w:r>
    </w:p>
    <w:p w:rsidR="00BC5F43" w:rsidRDefault="00711E14" w:rsidP="00FA418C">
      <w:pPr>
        <w:spacing w:line="480" w:lineRule="auto"/>
        <w:ind w:right="1440" w:firstLine="720"/>
      </w:pPr>
      <w:r>
        <w:lastRenderedPageBreak/>
        <w:t xml:space="preserve">We </w:t>
      </w:r>
      <w:r w:rsidR="00D3174A">
        <w:t>substituted the</w:t>
      </w:r>
      <w:r>
        <w:t xml:space="preserve"> wage rates </w:t>
      </w:r>
      <w:r w:rsidR="00386E47">
        <w:t>for</w:t>
      </w:r>
      <w:r>
        <w:t xml:space="preserve"> </w:t>
      </w:r>
      <w:r w:rsidR="000F03CC">
        <w:t>four</w:t>
      </w:r>
      <w:r>
        <w:t xml:space="preserve"> other</w:t>
      </w:r>
      <w:r w:rsidR="00C57F2F">
        <w:t xml:space="preserve"> </w:t>
      </w:r>
      <w:r>
        <w:t>occupations</w:t>
      </w:r>
      <w:r w:rsidR="000F03CC" w:rsidRPr="000F03CC">
        <w:t xml:space="preserve"> </w:t>
      </w:r>
      <w:r w:rsidR="000F03CC">
        <w:t xml:space="preserve">for </w:t>
      </w:r>
      <w:r w:rsidR="00964B92">
        <w:t xml:space="preserve">the </w:t>
      </w:r>
      <w:r w:rsidR="000F03CC">
        <w:t>wage</w:t>
      </w:r>
      <w:r w:rsidR="00964B92">
        <w:t xml:space="preserve"> variable</w:t>
      </w:r>
      <w:r w:rsidR="000F03CC">
        <w:t>:</w:t>
      </w:r>
      <w:r>
        <w:t xml:space="preserve"> compensations and benefits manager</w:t>
      </w:r>
      <w:r w:rsidR="000F03CC">
        <w:t>;</w:t>
      </w:r>
      <w:r>
        <w:t xml:space="preserve"> sec</w:t>
      </w:r>
      <w:r w:rsidR="00386E47">
        <w:t>retary</w:t>
      </w:r>
      <w:r>
        <w:t xml:space="preserve"> and administrative assistance (except legal, medical, and executive)</w:t>
      </w:r>
      <w:r w:rsidR="000F03CC">
        <w:t>;</w:t>
      </w:r>
      <w:r>
        <w:t xml:space="preserve"> financial analysis</w:t>
      </w:r>
      <w:r w:rsidR="000F03CC">
        <w:t>; and insurance claims and policy processing clerks</w:t>
      </w:r>
      <w:r>
        <w:t xml:space="preserve">.  In all </w:t>
      </w:r>
      <w:r w:rsidR="000F03CC">
        <w:t>four</w:t>
      </w:r>
      <w:r>
        <w:t xml:space="preserve"> cases the coefficient</w:t>
      </w:r>
      <w:r w:rsidR="0068755A">
        <w:t xml:space="preserve"> was</w:t>
      </w:r>
      <w:r>
        <w:t xml:space="preserve"> positive. </w:t>
      </w:r>
      <w:r w:rsidR="007E0209">
        <w:t xml:space="preserve">This leads us to conclude that the cause of the positive coefficient is not that </w:t>
      </w:r>
      <w:r w:rsidR="006F13CC">
        <w:t xml:space="preserve">the </w:t>
      </w:r>
      <w:r w:rsidR="007E0209">
        <w:t>wage is a</w:t>
      </w:r>
      <w:r w:rsidR="00C20E39">
        <w:t>n inappropriate</w:t>
      </w:r>
      <w:r w:rsidR="007E0209">
        <w:t xml:space="preserve"> measure of labor costs, but rather that either insurance firms are not sensitive to </w:t>
      </w:r>
      <w:r w:rsidR="0068755A">
        <w:t xml:space="preserve">interstate differences in </w:t>
      </w:r>
      <w:r w:rsidR="007E0209">
        <w:t>wage</w:t>
      </w:r>
      <w:r w:rsidR="0068755A">
        <w:t xml:space="preserve"> rates</w:t>
      </w:r>
      <w:r w:rsidR="007E0209">
        <w:t xml:space="preserve"> or that </w:t>
      </w:r>
      <w:r w:rsidR="0068755A">
        <w:t xml:space="preserve">the </w:t>
      </w:r>
      <w:r w:rsidR="007E0209">
        <w:t xml:space="preserve">wage level reflects state conditions that are beneficial for the firms. </w:t>
      </w:r>
    </w:p>
    <w:p w:rsidR="00F059F4" w:rsidRDefault="00C57F2F" w:rsidP="00FA418C">
      <w:pPr>
        <w:spacing w:line="480" w:lineRule="auto"/>
        <w:ind w:right="1440" w:firstLine="720"/>
      </w:pPr>
      <w:r>
        <w:t xml:space="preserve">Column 2 </w:t>
      </w:r>
      <w:r w:rsidR="00DB743A">
        <w:t xml:space="preserve">of Table 2 </w:t>
      </w:r>
      <w:r>
        <w:t xml:space="preserve">contains the results when we include </w:t>
      </w:r>
      <w:r w:rsidR="00DB743A">
        <w:t xml:space="preserve">the </w:t>
      </w:r>
      <w:r>
        <w:t xml:space="preserve">state control variables.  The coefficient on </w:t>
      </w:r>
      <w:proofErr w:type="spellStart"/>
      <w:r w:rsidR="00D9760A" w:rsidRPr="00075E11">
        <w:rPr>
          <w:i/>
        </w:rPr>
        <w:t>FRate</w:t>
      </w:r>
      <w:proofErr w:type="spellEnd"/>
      <w:r>
        <w:t xml:space="preserve"> is still negative and sta</w:t>
      </w:r>
      <w:r w:rsidR="003B2D9D">
        <w:t xml:space="preserve">tistically significant, and is </w:t>
      </w:r>
      <w:r w:rsidR="00020D94">
        <w:t>somewhat</w:t>
      </w:r>
      <w:r w:rsidR="006E4B9A">
        <w:t xml:space="preserve"> larger in absolute value</w:t>
      </w:r>
      <w:r w:rsidR="0068755A">
        <w:t xml:space="preserve"> than in column 1</w:t>
      </w:r>
      <w:r w:rsidR="003B2D9D">
        <w:t xml:space="preserve">.  </w:t>
      </w:r>
      <w:r w:rsidR="00426745">
        <w:t xml:space="preserve">The implied elasticity of </w:t>
      </w:r>
      <w:proofErr w:type="spellStart"/>
      <w:r w:rsidR="00426745" w:rsidRPr="008934BE">
        <w:rPr>
          <w:i/>
        </w:rPr>
        <w:t>Emp</w:t>
      </w:r>
      <w:proofErr w:type="spellEnd"/>
      <w:r w:rsidR="00426745">
        <w:t xml:space="preserve"> with respect to </w:t>
      </w:r>
      <w:proofErr w:type="spellStart"/>
      <w:r w:rsidR="00426745">
        <w:t>FRate</w:t>
      </w:r>
      <w:proofErr w:type="spellEnd"/>
      <w:r w:rsidR="00426745">
        <w:t xml:space="preserve"> is -0.662, which is towards the upper end of the range reported by </w:t>
      </w:r>
      <w:proofErr w:type="spellStart"/>
      <w:r w:rsidR="00426745">
        <w:t>Bartik</w:t>
      </w:r>
      <w:proofErr w:type="spellEnd"/>
      <w:r w:rsidR="00426745">
        <w:t xml:space="preserve"> (1992) and Phillips and Goss (1995). </w:t>
      </w:r>
      <w:r w:rsidR="00332BA2">
        <w:t xml:space="preserve">We experimented with different combinations of the control variables and in all cases the coefficients on the foreign tax rate was of about the same magnitude and always statistically significant. </w:t>
      </w:r>
    </w:p>
    <w:p w:rsidR="00FB4AF8" w:rsidRDefault="003B2D9D" w:rsidP="00FA418C">
      <w:pPr>
        <w:spacing w:line="480" w:lineRule="auto"/>
        <w:ind w:right="1440" w:firstLine="720"/>
      </w:pPr>
      <w:r>
        <w:t xml:space="preserve">The coefficient on </w:t>
      </w:r>
      <w:proofErr w:type="spellStart"/>
      <w:r w:rsidR="00C51BB8">
        <w:rPr>
          <w:i/>
        </w:rPr>
        <w:t>DifRate</w:t>
      </w:r>
      <w:proofErr w:type="spellEnd"/>
      <w:r w:rsidR="00D9760A">
        <w:t xml:space="preserve"> </w:t>
      </w:r>
      <w:r>
        <w:t>is still positive</w:t>
      </w:r>
      <w:r w:rsidR="00020D94">
        <w:t xml:space="preserve"> and</w:t>
      </w:r>
      <w:r w:rsidR="00020D94" w:rsidRPr="00020D94">
        <w:t xml:space="preserve"> </w:t>
      </w:r>
      <w:r w:rsidR="00020D94">
        <w:t>statistically significant</w:t>
      </w:r>
      <w:r>
        <w:t xml:space="preserve">, </w:t>
      </w:r>
      <w:r w:rsidR="00426745">
        <w:t>and slightly larger</w:t>
      </w:r>
      <w:r>
        <w:t xml:space="preserve">.  </w:t>
      </w:r>
      <w:r w:rsidR="00F059F4">
        <w:t>T</w:t>
      </w:r>
      <w:r w:rsidR="00332BA2">
        <w:t>h</w:t>
      </w:r>
      <w:r w:rsidR="00DD6521">
        <w:t xml:space="preserve">e coefficient on the tax difference </w:t>
      </w:r>
      <w:r w:rsidR="00332BA2">
        <w:t>is</w:t>
      </w:r>
      <w:r w:rsidR="00DD6521">
        <w:t xml:space="preserve"> always positive </w:t>
      </w:r>
      <w:r w:rsidR="00F059F4">
        <w:t>regardless of which state control variables are included</w:t>
      </w:r>
      <w:r w:rsidR="00FB4AF8">
        <w:t xml:space="preserve"> and almost always</w:t>
      </w:r>
      <w:r w:rsidR="00F059F4">
        <w:t xml:space="preserve"> </w:t>
      </w:r>
      <w:r w:rsidR="00332BA2">
        <w:t>statistically significant</w:t>
      </w:r>
      <w:r w:rsidR="006F13CC">
        <w:t>.</w:t>
      </w:r>
      <w:r w:rsidR="00332BA2">
        <w:t xml:space="preserve"> </w:t>
      </w:r>
    </w:p>
    <w:p w:rsidR="00020D94" w:rsidRDefault="003B2D9D" w:rsidP="00FA418C">
      <w:pPr>
        <w:spacing w:line="480" w:lineRule="auto"/>
        <w:ind w:right="1440" w:firstLine="720"/>
      </w:pPr>
      <w:r>
        <w:t>The coefficient on the regulatory variable</w:t>
      </w:r>
      <w:r w:rsidR="00D9760A">
        <w:t xml:space="preserve"> (</w:t>
      </w:r>
      <w:proofErr w:type="spellStart"/>
      <w:r w:rsidR="00D9760A" w:rsidRPr="00075E11">
        <w:rPr>
          <w:i/>
        </w:rPr>
        <w:t>Reg</w:t>
      </w:r>
      <w:proofErr w:type="spellEnd"/>
      <w:r w:rsidR="00D9760A">
        <w:t>)</w:t>
      </w:r>
      <w:r>
        <w:t xml:space="preserve"> is </w:t>
      </w:r>
      <w:r w:rsidR="008B37AE">
        <w:t>negative</w:t>
      </w:r>
      <w:r>
        <w:t xml:space="preserve"> but </w:t>
      </w:r>
      <w:r w:rsidR="00782524">
        <w:t xml:space="preserve">still </w:t>
      </w:r>
      <w:r w:rsidR="00473CEE">
        <w:t>statistically</w:t>
      </w:r>
      <w:r>
        <w:t xml:space="preserve"> insignificant</w:t>
      </w:r>
      <w:r w:rsidR="00782524">
        <w:t xml:space="preserve">.  </w:t>
      </w:r>
      <w:r w:rsidR="006B4D8F">
        <w:t>T</w:t>
      </w:r>
      <w:r>
        <w:t xml:space="preserve">he coefficient on </w:t>
      </w:r>
      <w:r w:rsidR="006F13CC">
        <w:t xml:space="preserve">the wage variable </w:t>
      </w:r>
      <w:r>
        <w:t>is still</w:t>
      </w:r>
      <w:r w:rsidR="006B4D8F">
        <w:t xml:space="preserve"> unexpectedly</w:t>
      </w:r>
      <w:r>
        <w:t xml:space="preserve"> positive and statistically significant.  </w:t>
      </w:r>
    </w:p>
    <w:p w:rsidR="00EB1354" w:rsidRDefault="00020D94" w:rsidP="00FA418C">
      <w:pPr>
        <w:spacing w:line="480" w:lineRule="auto"/>
        <w:ind w:right="1440" w:firstLine="720"/>
      </w:pPr>
      <w:r>
        <w:t>In terms of the state control variables, the percent metro population</w:t>
      </w:r>
      <w:r w:rsidR="00D9760A">
        <w:t xml:space="preserve"> (</w:t>
      </w:r>
      <w:r w:rsidR="00D9760A" w:rsidRPr="00075E11">
        <w:rPr>
          <w:i/>
        </w:rPr>
        <w:t>Metro</w:t>
      </w:r>
      <w:r w:rsidR="00D9760A">
        <w:t>)</w:t>
      </w:r>
      <w:r>
        <w:t xml:space="preserve"> has the expected positive coefficient and is statistically significant.  However, t</w:t>
      </w:r>
      <w:r w:rsidR="00DD6521">
        <w:t xml:space="preserve">he coefficients on several of the </w:t>
      </w:r>
      <w:r>
        <w:t xml:space="preserve">other state </w:t>
      </w:r>
      <w:r w:rsidR="00DD6521">
        <w:t>control variables ha</w:t>
      </w:r>
      <w:r w:rsidR="00473CEE">
        <w:t>ve</w:t>
      </w:r>
      <w:r w:rsidR="00DD6521">
        <w:t xml:space="preserve"> unexpected signs.  For example, the coefficient on the income tax </w:t>
      </w:r>
      <w:r w:rsidR="007E0209">
        <w:t>variable</w:t>
      </w:r>
      <w:r w:rsidR="00EB1354">
        <w:t xml:space="preserve"> </w:t>
      </w:r>
      <w:r w:rsidR="00D9760A">
        <w:t>(</w:t>
      </w:r>
      <w:r w:rsidR="00D9760A" w:rsidRPr="00075E11">
        <w:rPr>
          <w:i/>
        </w:rPr>
        <w:t>PIT</w:t>
      </w:r>
      <w:r w:rsidR="008B37AE">
        <w:rPr>
          <w:i/>
        </w:rPr>
        <w:t>)</w:t>
      </w:r>
      <w:r w:rsidR="008B37AE">
        <w:t xml:space="preserve"> is</w:t>
      </w:r>
      <w:r w:rsidR="00EB1354">
        <w:t xml:space="preserve"> positive</w:t>
      </w:r>
      <w:r>
        <w:t xml:space="preserve"> and</w:t>
      </w:r>
      <w:r w:rsidR="00EB1354">
        <w:t xml:space="preserve"> statistically significant</w:t>
      </w:r>
      <w:r w:rsidR="00840CDC">
        <w:t>.</w:t>
      </w:r>
      <w:r w:rsidR="008B37AE">
        <w:t xml:space="preserve"> </w:t>
      </w:r>
      <w:r w:rsidR="00840CDC">
        <w:t>A</w:t>
      </w:r>
      <w:r w:rsidR="008B37AE">
        <w:t xml:space="preserve">lthough the coefficient on the </w:t>
      </w:r>
      <w:r w:rsidR="008B37AE">
        <w:lastRenderedPageBreak/>
        <w:t>sales tax variable is negative</w:t>
      </w:r>
      <w:r w:rsidR="00840CDC">
        <w:t xml:space="preserve">, it </w:t>
      </w:r>
      <w:r w:rsidR="008B37AE">
        <w:t>has a very large standard error.  T</w:t>
      </w:r>
      <w:r w:rsidR="00EB1354">
        <w:t xml:space="preserve">he percent college educated </w:t>
      </w:r>
      <w:r w:rsidR="0068755A">
        <w:t>(</w:t>
      </w:r>
      <w:r w:rsidR="0068755A" w:rsidRPr="000066F4">
        <w:rPr>
          <w:i/>
        </w:rPr>
        <w:t>BA</w:t>
      </w:r>
      <w:r w:rsidR="0068755A">
        <w:t xml:space="preserve">) </w:t>
      </w:r>
      <w:r w:rsidR="00EB1354">
        <w:t>has an unexpected negative</w:t>
      </w:r>
      <w:r w:rsidR="007E0209">
        <w:t xml:space="preserve"> coefficient, which is </w:t>
      </w:r>
      <w:r w:rsidR="00EB1354">
        <w:t>statisticall</w:t>
      </w:r>
      <w:r w:rsidR="009723C3">
        <w:t>y significant.  The coefficients on the percent over 65, the percent</w:t>
      </w:r>
      <w:r w:rsidR="00EB1354">
        <w:t xml:space="preserve"> manufacturing</w:t>
      </w:r>
      <w:r w:rsidR="009723C3">
        <w:t>, and per capita income are all negative</w:t>
      </w:r>
      <w:r w:rsidR="00782524">
        <w:t xml:space="preserve">, with the coefficients on </w:t>
      </w:r>
      <w:r w:rsidR="00782524" w:rsidRPr="008934BE">
        <w:rPr>
          <w:i/>
        </w:rPr>
        <w:t>Over65</w:t>
      </w:r>
      <w:r w:rsidR="00782524">
        <w:t xml:space="preserve"> and </w:t>
      </w:r>
      <w:proofErr w:type="spellStart"/>
      <w:r w:rsidR="00782524" w:rsidRPr="008934BE">
        <w:rPr>
          <w:i/>
        </w:rPr>
        <w:t>PCInc</w:t>
      </w:r>
      <w:proofErr w:type="spellEnd"/>
      <w:r w:rsidR="009723C3">
        <w:t xml:space="preserve"> </w:t>
      </w:r>
      <w:r w:rsidR="00426745">
        <w:t>being</w:t>
      </w:r>
      <w:r w:rsidR="00EB1354">
        <w:t xml:space="preserve"> statistically significant</w:t>
      </w:r>
      <w:r w:rsidR="006E4B9A">
        <w:t xml:space="preserve">; we had no </w:t>
      </w:r>
      <w:r w:rsidR="007A41C9">
        <w:t xml:space="preserve">strong </w:t>
      </w:r>
      <w:r w:rsidR="006E4B9A" w:rsidRPr="00F210A6">
        <w:rPr>
          <w:i/>
        </w:rPr>
        <w:t>a</w:t>
      </w:r>
      <w:r w:rsidR="00990659">
        <w:rPr>
          <w:i/>
        </w:rPr>
        <w:t xml:space="preserve"> </w:t>
      </w:r>
      <w:r w:rsidR="006E4B9A" w:rsidRPr="00F210A6">
        <w:rPr>
          <w:i/>
        </w:rPr>
        <w:t>pr</w:t>
      </w:r>
      <w:r w:rsidR="00990659">
        <w:rPr>
          <w:i/>
        </w:rPr>
        <w:t>i</w:t>
      </w:r>
      <w:r w:rsidR="006E4B9A" w:rsidRPr="00F210A6">
        <w:rPr>
          <w:i/>
        </w:rPr>
        <w:t>ori</w:t>
      </w:r>
      <w:r w:rsidR="006E4B9A">
        <w:t xml:space="preserve"> expectation as to the sign of th</w:t>
      </w:r>
      <w:r w:rsidR="009723C3">
        <w:t>e</w:t>
      </w:r>
      <w:r w:rsidR="00473CEE">
        <w:t>se</w:t>
      </w:r>
      <w:r w:rsidR="009723C3">
        <w:t xml:space="preserve"> three</w:t>
      </w:r>
      <w:r w:rsidR="006E4B9A">
        <w:t xml:space="preserve"> coefficient</w:t>
      </w:r>
      <w:r w:rsidR="00473CEE">
        <w:t>s</w:t>
      </w:r>
      <w:r w:rsidR="007A41C9">
        <w:t xml:space="preserve">, although we expected </w:t>
      </w:r>
      <w:proofErr w:type="spellStart"/>
      <w:r w:rsidR="007813AD" w:rsidRPr="0040446D">
        <w:rPr>
          <w:i/>
        </w:rPr>
        <w:t>PCInc</w:t>
      </w:r>
      <w:proofErr w:type="spellEnd"/>
      <w:r w:rsidR="007A41C9">
        <w:t xml:space="preserve"> to have a positive coefficient and </w:t>
      </w:r>
      <w:r w:rsidR="00C20E39" w:rsidRPr="0040446D">
        <w:rPr>
          <w:i/>
        </w:rPr>
        <w:t>MFG</w:t>
      </w:r>
      <w:r w:rsidR="00C20E39">
        <w:t xml:space="preserve"> </w:t>
      </w:r>
      <w:r w:rsidR="00D02F40">
        <w:t xml:space="preserve">and </w:t>
      </w:r>
      <w:r w:rsidR="00D02F40" w:rsidRPr="008934BE">
        <w:rPr>
          <w:i/>
        </w:rPr>
        <w:t>Over65</w:t>
      </w:r>
      <w:r w:rsidR="00D02F40">
        <w:t xml:space="preserve"> </w:t>
      </w:r>
      <w:r w:rsidR="007A41C9">
        <w:t>to have</w:t>
      </w:r>
      <w:r w:rsidR="00C20E39">
        <w:t xml:space="preserve"> </w:t>
      </w:r>
      <w:r w:rsidR="007A41C9">
        <w:t>negative coefficient</w:t>
      </w:r>
      <w:r w:rsidR="00D02F40">
        <w:t>s</w:t>
      </w:r>
      <w:r w:rsidR="00EB1354">
        <w:t xml:space="preserve">.  </w:t>
      </w:r>
      <w:r w:rsidR="009D5A03">
        <w:t xml:space="preserve">The coefficient on </w:t>
      </w:r>
      <w:r w:rsidR="007813AD" w:rsidRPr="0040446D">
        <w:rPr>
          <w:i/>
        </w:rPr>
        <w:t>HI</w:t>
      </w:r>
      <w:r w:rsidR="009D5A03">
        <w:t xml:space="preserve"> is negative and statistically significant, suggesting the more concentrated the industry in the state the lower the employment, a result that is contrary to expectations.  </w:t>
      </w:r>
    </w:p>
    <w:p w:rsidR="00714979" w:rsidRPr="00A5125B" w:rsidRDefault="00B4744D" w:rsidP="00FA418C">
      <w:pPr>
        <w:spacing w:line="480" w:lineRule="auto"/>
        <w:ind w:right="1440" w:firstLine="720"/>
      </w:pPr>
      <w:r>
        <w:t>As noted in section 3, a</w:t>
      </w:r>
      <w:r w:rsidR="009723C3">
        <w:t xml:space="preserve"> possible concern is that the tax rate could be endogenous. </w:t>
      </w:r>
      <w:r w:rsidR="002E05C2">
        <w:t xml:space="preserve">While we hypothesize that the premium tax will affect the level of employment in the state, the size of the industry could affect the tax rate.  </w:t>
      </w:r>
      <w:r w:rsidR="007E4677">
        <w:t>For example, i</w:t>
      </w:r>
      <w:r w:rsidR="002E05C2">
        <w:t xml:space="preserve">t is possible that </w:t>
      </w:r>
      <w:r w:rsidR="00C20E39">
        <w:t xml:space="preserve">with </w:t>
      </w:r>
      <w:r w:rsidR="002E05C2">
        <w:t xml:space="preserve">larger insurance </w:t>
      </w:r>
      <w:r w:rsidR="007E4677">
        <w:t xml:space="preserve">industry </w:t>
      </w:r>
      <w:r w:rsidR="002E05C2">
        <w:t>employment</w:t>
      </w:r>
      <w:r w:rsidR="00E801E4">
        <w:t xml:space="preserve"> the industry places</w:t>
      </w:r>
      <w:r w:rsidR="002E05C2">
        <w:t xml:space="preserve"> greater pressure on the state to lower the insurance premium tax rate.  </w:t>
      </w:r>
      <w:r>
        <w:t>However, o</w:t>
      </w:r>
      <w:r w:rsidR="007E0209">
        <w:t>ur priors are th</w:t>
      </w:r>
      <w:r w:rsidR="000A779D">
        <w:t>at</w:t>
      </w:r>
      <w:r w:rsidR="007E0209">
        <w:t xml:space="preserve"> </w:t>
      </w:r>
      <w:proofErr w:type="spellStart"/>
      <w:r w:rsidR="007E0209">
        <w:t>endogeneity</w:t>
      </w:r>
      <w:proofErr w:type="spellEnd"/>
      <w:r w:rsidR="007E0209">
        <w:t xml:space="preserve"> is not a problem.  First, </w:t>
      </w:r>
      <w:r w:rsidR="006B4D8F">
        <w:t xml:space="preserve">given the size of </w:t>
      </w:r>
      <w:r w:rsidR="007E0209">
        <w:t>the property-</w:t>
      </w:r>
      <w:r w:rsidR="000E16EC">
        <w:t>casualty</w:t>
      </w:r>
      <w:r w:rsidR="007E0209">
        <w:t xml:space="preserve"> industry, </w:t>
      </w:r>
      <w:r w:rsidR="006B4D8F">
        <w:t xml:space="preserve">the industry may </w:t>
      </w:r>
      <w:r w:rsidR="007E0209">
        <w:t xml:space="preserve">not be able to </w:t>
      </w:r>
      <w:r w:rsidR="000E16EC">
        <w:t>exert</w:t>
      </w:r>
      <w:r w:rsidR="007E0209">
        <w:t xml:space="preserve"> su</w:t>
      </w:r>
      <w:r w:rsidR="00E22D8A">
        <w:t>fficient</w:t>
      </w:r>
      <w:r w:rsidR="007E0209">
        <w:t xml:space="preserve"> political pressure</w:t>
      </w:r>
      <w:r w:rsidR="00E22D8A">
        <w:t xml:space="preserve"> to lower the tax rate</w:t>
      </w:r>
      <w:r w:rsidR="007E0209">
        <w:t>.  In addition, the change</w:t>
      </w:r>
      <w:r w:rsidR="00D02F40">
        <w:t>s</w:t>
      </w:r>
      <w:r w:rsidR="007E0209">
        <w:t xml:space="preserve"> in tax </w:t>
      </w:r>
      <w:r w:rsidR="005437EE">
        <w:t>rate</w:t>
      </w:r>
      <w:r w:rsidR="00D02F40">
        <w:t>s</w:t>
      </w:r>
      <w:r w:rsidR="005437EE">
        <w:t xml:space="preserve"> </w:t>
      </w:r>
      <w:r w:rsidR="007E0209">
        <w:t xml:space="preserve">do not appear to be driven by the size </w:t>
      </w:r>
      <w:r w:rsidR="00DC3A93">
        <w:t xml:space="preserve">of </w:t>
      </w:r>
      <w:r w:rsidR="007E0209">
        <w:t>or the c</w:t>
      </w:r>
      <w:r w:rsidR="00DC3A93">
        <w:t>hange in t</w:t>
      </w:r>
      <w:r w:rsidR="007E0209">
        <w:t>he industry</w:t>
      </w:r>
      <w:r w:rsidR="00DC3A93">
        <w:t>’s employment.</w:t>
      </w:r>
      <w:r w:rsidR="007E0209">
        <w:t xml:space="preserve"> </w:t>
      </w:r>
      <w:r w:rsidR="005437EE">
        <w:t xml:space="preserve"> We regressed the change in</w:t>
      </w:r>
      <w:r w:rsidR="00B54A0E">
        <w:t xml:space="preserve"> the</w:t>
      </w:r>
      <w:r w:rsidR="005437EE">
        <w:t xml:space="preserve"> tax rate over the period </w:t>
      </w:r>
      <w:r w:rsidR="00B54A0E">
        <w:t>separately against</w:t>
      </w:r>
      <w:r w:rsidR="005437EE">
        <w:t xml:space="preserve"> the </w:t>
      </w:r>
      <w:r w:rsidR="00FB4AF8">
        <w:t xml:space="preserve">initial and </w:t>
      </w:r>
      <w:r w:rsidR="00B54A0E">
        <w:t xml:space="preserve">the </w:t>
      </w:r>
      <w:r w:rsidR="00FB4AF8">
        <w:t xml:space="preserve">annual </w:t>
      </w:r>
      <w:r w:rsidR="005437EE">
        <w:t xml:space="preserve">level of employment; the coefficient on </w:t>
      </w:r>
      <w:r w:rsidR="00FB4AF8">
        <w:t xml:space="preserve">these </w:t>
      </w:r>
      <w:r w:rsidR="00B54A0E">
        <w:t xml:space="preserve">employment </w:t>
      </w:r>
      <w:r w:rsidR="00FB4AF8">
        <w:t>measures had very large standard errors</w:t>
      </w:r>
      <w:r w:rsidR="005437EE">
        <w:t>.</w:t>
      </w:r>
      <w:r w:rsidR="007E0209">
        <w:t xml:space="preserve"> </w:t>
      </w:r>
      <w:r w:rsidR="00A5125B">
        <w:t xml:space="preserve"> </w:t>
      </w:r>
      <w:r w:rsidR="00714979">
        <w:t xml:space="preserve">However, a </w:t>
      </w:r>
      <w:proofErr w:type="spellStart"/>
      <w:r w:rsidR="00FB4AF8">
        <w:t>Hausman</w:t>
      </w:r>
      <w:proofErr w:type="spellEnd"/>
      <w:r w:rsidR="00FB4AF8">
        <w:t xml:space="preserve"> </w:t>
      </w:r>
      <w:r w:rsidR="00714979">
        <w:t>test</w:t>
      </w:r>
      <w:r w:rsidR="00FB4AF8">
        <w:t xml:space="preserve"> and a Durbin-Wu-</w:t>
      </w:r>
      <w:proofErr w:type="spellStart"/>
      <w:r w:rsidR="00FB4AF8">
        <w:t>Hausman</w:t>
      </w:r>
      <w:proofErr w:type="spellEnd"/>
      <w:r w:rsidR="00FB4AF8">
        <w:t xml:space="preserve"> test</w:t>
      </w:r>
      <w:r w:rsidR="00714979">
        <w:t xml:space="preserve"> of </w:t>
      </w:r>
      <w:proofErr w:type="spellStart"/>
      <w:r w:rsidR="00714979">
        <w:t>endogeneity</w:t>
      </w:r>
      <w:proofErr w:type="spellEnd"/>
      <w:r w:rsidR="00714979">
        <w:t xml:space="preserve"> impl</w:t>
      </w:r>
      <w:r w:rsidR="006A5D63">
        <w:t>y</w:t>
      </w:r>
      <w:r w:rsidR="00714979">
        <w:t xml:space="preserve"> that we can</w:t>
      </w:r>
      <w:r w:rsidR="0085539E">
        <w:t>not</w:t>
      </w:r>
      <w:r w:rsidR="00714979">
        <w:t xml:space="preserve"> reject the hypothesis that the foreign tax rate is </w:t>
      </w:r>
      <w:r w:rsidR="00C8314A">
        <w:t>e</w:t>
      </w:r>
      <w:r w:rsidR="00714979">
        <w:t>ndogenous. T</w:t>
      </w:r>
      <w:r w:rsidR="002E05C2">
        <w:t>o deal with the</w:t>
      </w:r>
      <w:r w:rsidR="007E4677">
        <w:t xml:space="preserve"> possibility of</w:t>
      </w:r>
      <w:r w:rsidR="002E05C2">
        <w:t xml:space="preserve"> endogen</w:t>
      </w:r>
      <w:r w:rsidR="009241EE">
        <w:t>ous</w:t>
      </w:r>
      <w:r w:rsidR="002E05C2">
        <w:t xml:space="preserve"> tax rate</w:t>
      </w:r>
      <w:r w:rsidR="009241EE">
        <w:t>s</w:t>
      </w:r>
      <w:r w:rsidR="002E05C2">
        <w:t xml:space="preserve"> </w:t>
      </w:r>
      <w:r w:rsidR="00884E4D">
        <w:t xml:space="preserve">we </w:t>
      </w:r>
      <w:r w:rsidR="009241EE">
        <w:t xml:space="preserve">employ </w:t>
      </w:r>
      <w:r w:rsidR="00884E4D">
        <w:t>two methods</w:t>
      </w:r>
      <w:r w:rsidR="009241EE">
        <w:t xml:space="preserve"> – estimating </w:t>
      </w:r>
      <w:r w:rsidR="005437EE">
        <w:t xml:space="preserve">the regressions </w:t>
      </w:r>
      <w:r w:rsidR="009241EE">
        <w:t>directly using lagged tax rates and using</w:t>
      </w:r>
      <w:r>
        <w:t xml:space="preserve"> 2SLS</w:t>
      </w:r>
      <w:r w:rsidR="00884E4D">
        <w:t xml:space="preserve">. </w:t>
      </w:r>
      <w:r w:rsidR="00A5125B">
        <w:t>While it is also possible that the domestic tax rate and employment</w:t>
      </w:r>
      <w:r w:rsidR="00884E4D">
        <w:t xml:space="preserve"> </w:t>
      </w:r>
      <w:r w:rsidR="00A5125B">
        <w:t xml:space="preserve">may be endogenous, a test of </w:t>
      </w:r>
      <w:proofErr w:type="spellStart"/>
      <w:r w:rsidR="00A5125B">
        <w:t>endogeneity</w:t>
      </w:r>
      <w:proofErr w:type="spellEnd"/>
      <w:r w:rsidR="00A5125B">
        <w:t xml:space="preserve"> between the difference in the tax rates and employment suggests that </w:t>
      </w:r>
      <w:proofErr w:type="spellStart"/>
      <w:r w:rsidR="00C51BB8">
        <w:rPr>
          <w:i/>
        </w:rPr>
        <w:t>DifRate</w:t>
      </w:r>
      <w:proofErr w:type="spellEnd"/>
      <w:r w:rsidR="00A5125B">
        <w:t xml:space="preserve"> </w:t>
      </w:r>
      <w:r w:rsidR="00B54A0E">
        <w:t>is not endogenous</w:t>
      </w:r>
      <w:r w:rsidR="00A5125B">
        <w:t xml:space="preserve">. </w:t>
      </w:r>
    </w:p>
    <w:p w:rsidR="00512D64" w:rsidRDefault="00E801E4" w:rsidP="00FA418C">
      <w:pPr>
        <w:spacing w:line="480" w:lineRule="auto"/>
        <w:ind w:right="1440" w:firstLine="720"/>
      </w:pPr>
      <w:r>
        <w:lastRenderedPageBreak/>
        <w:t>F</w:t>
      </w:r>
      <w:r w:rsidR="00884E4D">
        <w:t>irst, we use</w:t>
      </w:r>
      <w:r>
        <w:t>d lagged value</w:t>
      </w:r>
      <w:r w:rsidR="009723C3">
        <w:t>s</w:t>
      </w:r>
      <w:r>
        <w:t xml:space="preserve"> of the </w:t>
      </w:r>
      <w:r w:rsidR="00A5125B">
        <w:t xml:space="preserve">foreign </w:t>
      </w:r>
      <w:r>
        <w:t>tax rate</w:t>
      </w:r>
      <w:r w:rsidR="006B4D8F">
        <w:t xml:space="preserve"> with</w:t>
      </w:r>
      <w:r w:rsidR="000D32BF">
        <w:t xml:space="preserve"> </w:t>
      </w:r>
      <w:r w:rsidR="006B4D8F">
        <w:t>lag</w:t>
      </w:r>
      <w:r w:rsidR="00E22D8A">
        <w:t>s</w:t>
      </w:r>
      <w:r w:rsidR="006B4D8F">
        <w:t xml:space="preserve"> up to five years </w:t>
      </w:r>
      <w:r w:rsidR="000D32BF">
        <w:t xml:space="preserve">since </w:t>
      </w:r>
      <w:r>
        <w:t>current employment cannot affect previous tax rates</w:t>
      </w:r>
      <w:r w:rsidR="004E3E72">
        <w:t>. (</w:t>
      </w:r>
      <w:r w:rsidR="005437EE">
        <w:t>W</w:t>
      </w:r>
      <w:r w:rsidR="004E3E72">
        <w:t xml:space="preserve">hile current employment cannot </w:t>
      </w:r>
      <w:r w:rsidR="000A779D">
        <w:t xml:space="preserve">affect </w:t>
      </w:r>
      <w:r w:rsidR="004E3E72">
        <w:t>the lagged tax rate, w</w:t>
      </w:r>
      <w:r w:rsidR="005437EE">
        <w:t>e recognize that this may not s</w:t>
      </w:r>
      <w:r w:rsidR="006A5D63">
        <w:t>olv</w:t>
      </w:r>
      <w:r w:rsidR="005437EE">
        <w:t xml:space="preserve">e the </w:t>
      </w:r>
      <w:proofErr w:type="spellStart"/>
      <w:r w:rsidR="005437EE">
        <w:t>endogeneity</w:t>
      </w:r>
      <w:proofErr w:type="spellEnd"/>
      <w:r w:rsidR="005437EE">
        <w:t xml:space="preserve"> problem</w:t>
      </w:r>
      <w:r w:rsidR="004E3E72">
        <w:t xml:space="preserve"> if the covariance of the lagged tax rate and the error term is not zero.) </w:t>
      </w:r>
      <w:r w:rsidR="00BB7FB8">
        <w:t xml:space="preserve">The results are </w:t>
      </w:r>
      <w:r w:rsidR="006B4D8F">
        <w:t xml:space="preserve">very </w:t>
      </w:r>
      <w:r w:rsidR="00BB7FB8">
        <w:t xml:space="preserve">similar to those reported in </w:t>
      </w:r>
      <w:r w:rsidR="00B4744D">
        <w:t>Table 2</w:t>
      </w:r>
      <w:r w:rsidR="006B4D8F" w:rsidRPr="006B4D8F">
        <w:t xml:space="preserve"> </w:t>
      </w:r>
      <w:r w:rsidR="006B4D8F">
        <w:t>regardless of the length of the lag; given the similarities in results and in the interest of space we</w:t>
      </w:r>
      <w:r w:rsidR="009723C3">
        <w:t xml:space="preserve"> do not report the results here</w:t>
      </w:r>
      <w:r w:rsidR="006B4D8F">
        <w:t>.</w:t>
      </w:r>
    </w:p>
    <w:p w:rsidR="001D53AC" w:rsidRDefault="00884E4D" w:rsidP="00FA418C">
      <w:pPr>
        <w:spacing w:line="480" w:lineRule="auto"/>
        <w:ind w:right="1440" w:firstLine="720"/>
      </w:pPr>
      <w:r>
        <w:t xml:space="preserve">For the second approach we </w:t>
      </w:r>
      <w:r w:rsidR="003D4747">
        <w:t xml:space="preserve">used </w:t>
      </w:r>
      <w:r w:rsidR="00B4744D">
        <w:t>a simultaneous equation model estimated using 2SLS</w:t>
      </w:r>
      <w:r w:rsidR="00714979">
        <w:t>.</w:t>
      </w:r>
      <w:r w:rsidR="00E801E4">
        <w:t xml:space="preserve">  </w:t>
      </w:r>
      <w:r w:rsidR="00B02BB8">
        <w:t xml:space="preserve">There is </w:t>
      </w:r>
      <w:r w:rsidR="00B54A0E">
        <w:t>relatively</w:t>
      </w:r>
      <w:r w:rsidR="00B02BB8">
        <w:t xml:space="preserve"> little research that has attempted to explain </w:t>
      </w:r>
      <w:r w:rsidR="00B54A0E">
        <w:t xml:space="preserve">interstate </w:t>
      </w:r>
      <w:r w:rsidR="00B02BB8">
        <w:t>differences in tax rates.  Fletcher and Murray (200</w:t>
      </w:r>
      <w:r w:rsidR="001B5C11">
        <w:t>8</w:t>
      </w:r>
      <w:r w:rsidR="00B02BB8">
        <w:t xml:space="preserve">) explore the </w:t>
      </w:r>
      <w:r w:rsidR="000D32BF">
        <w:t>determinants</w:t>
      </w:r>
      <w:r w:rsidR="00B02BB8">
        <w:t xml:space="preserve"> of state personal income tax features</w:t>
      </w:r>
      <w:r w:rsidR="00B54A0E">
        <w:t>, including the top marginal tax rate.</w:t>
      </w:r>
      <w:r w:rsidR="00B02BB8">
        <w:t xml:space="preserve">  Gupta et al. (2009), as part of an effort to explain corporate income tax revenue, estimate a first stage regression that attempts to explain the corporate tax rate.</w:t>
      </w:r>
      <w:r w:rsidR="00B54A0E">
        <w:rPr>
          <w:rStyle w:val="FootnoteReference"/>
        </w:rPr>
        <w:footnoteReference w:id="16"/>
      </w:r>
      <w:r w:rsidR="00B02BB8">
        <w:t xml:space="preserve">  Both</w:t>
      </w:r>
      <w:r w:rsidR="000D32BF">
        <w:t xml:space="preserve"> Fletcher and Murray </w:t>
      </w:r>
      <w:r w:rsidR="00F426DB">
        <w:t xml:space="preserve">(2008) </w:t>
      </w:r>
      <w:r w:rsidR="000D32BF">
        <w:t xml:space="preserve">and Gupta </w:t>
      </w:r>
      <w:r w:rsidR="009C628D">
        <w:t>et al</w:t>
      </w:r>
      <w:r w:rsidR="000D32BF">
        <w:t>.</w:t>
      </w:r>
      <w:r w:rsidR="00F426DB">
        <w:t xml:space="preserve"> (2009)</w:t>
      </w:r>
      <w:r w:rsidR="00990659">
        <w:t xml:space="preserve"> </w:t>
      </w:r>
      <w:r w:rsidR="00B02BB8">
        <w:t>find that variables that measure political party</w:t>
      </w:r>
      <w:r w:rsidR="004E3E72">
        <w:t xml:space="preserve"> control</w:t>
      </w:r>
      <w:r w:rsidR="00B02BB8">
        <w:t xml:space="preserve"> </w:t>
      </w:r>
      <w:r w:rsidR="004E3E72">
        <w:t>are</w:t>
      </w:r>
      <w:r w:rsidR="00B02BB8">
        <w:t xml:space="preserve"> significant factor</w:t>
      </w:r>
      <w:r w:rsidR="00822FEC">
        <w:t>s</w:t>
      </w:r>
      <w:r w:rsidR="00B02BB8">
        <w:t>.  Other variables that are included and</w:t>
      </w:r>
      <w:r w:rsidR="00215B35">
        <w:t xml:space="preserve"> that</w:t>
      </w:r>
      <w:r w:rsidR="00B02BB8">
        <w:t xml:space="preserve"> are statistically significant seem particularly tied to the specific tax under consideration.  </w:t>
      </w:r>
      <w:r w:rsidR="00B54A0E">
        <w:t xml:space="preserve">Related to political control, </w:t>
      </w:r>
      <w:r w:rsidR="001B5C11">
        <w:t xml:space="preserve">Reed (2006) finds that taxes in a state with a Democrat controlled legislature are </w:t>
      </w:r>
      <w:r w:rsidR="00C20E39">
        <w:t>three</w:t>
      </w:r>
      <w:r w:rsidR="001B5C11">
        <w:t xml:space="preserve"> to </w:t>
      </w:r>
      <w:r w:rsidR="005D320A">
        <w:t xml:space="preserve">five </w:t>
      </w:r>
      <w:r w:rsidR="001B5C11">
        <w:t xml:space="preserve">percent higher </w:t>
      </w:r>
      <w:r w:rsidR="00257FEC">
        <w:t xml:space="preserve">than </w:t>
      </w:r>
      <w:r w:rsidR="001B5C11">
        <w:t>with a Republican controlled legislature.  Alt and Lowry (1994) also find the Democratic controlled states are more likely to increase taxes in the face of a budget shortfall.  Th</w:t>
      </w:r>
      <w:r w:rsidR="00B54A0E">
        <w:t>e</w:t>
      </w:r>
      <w:r w:rsidR="001B5C11">
        <w:t>se results</w:t>
      </w:r>
      <w:r w:rsidR="00B54A0E">
        <w:t xml:space="preserve"> lead us to</w:t>
      </w:r>
      <w:r w:rsidR="001B5C11">
        <w:t xml:space="preserve"> </w:t>
      </w:r>
      <w:r w:rsidR="001D53AC">
        <w:t>suggest that Democratic control of the state would lead to higher insurance premium tax rates</w:t>
      </w:r>
      <w:r w:rsidR="001B5C11">
        <w:t>.</w:t>
      </w:r>
      <w:r w:rsidR="001D53AC" w:rsidRPr="001D53AC">
        <w:t xml:space="preserve"> </w:t>
      </w:r>
    </w:p>
    <w:p w:rsidR="00B02BB8" w:rsidRDefault="004E3E72" w:rsidP="00FA418C">
      <w:pPr>
        <w:spacing w:line="480" w:lineRule="auto"/>
        <w:ind w:right="1440" w:firstLine="720"/>
      </w:pPr>
      <w:r>
        <w:t xml:space="preserve">We specify a </w:t>
      </w:r>
      <w:r w:rsidR="000D32BF">
        <w:t xml:space="preserve">foreign </w:t>
      </w:r>
      <w:r>
        <w:t xml:space="preserve">tax rate equation with the following </w:t>
      </w:r>
      <w:r w:rsidR="00B54A0E">
        <w:t>four instrumental</w:t>
      </w:r>
      <w:r>
        <w:t xml:space="preserve"> variables.   Based on existing research, </w:t>
      </w:r>
      <w:r w:rsidR="000D32BF">
        <w:t xml:space="preserve">as noted above, </w:t>
      </w:r>
      <w:r>
        <w:t xml:space="preserve">we expect that a state with a strong Democratic control over time is likely to have a higher insurance premium tax rate.  </w:t>
      </w:r>
      <w:r w:rsidR="008063C6">
        <w:t>I</w:t>
      </w:r>
      <w:r w:rsidR="00862090">
        <w:t>t is not expected that the size of the property-casualty insurance industry could affect the political control of the state</w:t>
      </w:r>
      <w:r w:rsidR="004A76C3">
        <w:t xml:space="preserve"> so </w:t>
      </w:r>
      <w:r w:rsidR="004A76C3">
        <w:lastRenderedPageBreak/>
        <w:t>that this variable is expected to be uncorrelated with employment</w:t>
      </w:r>
      <w:r w:rsidR="00862090">
        <w:t xml:space="preserve">. </w:t>
      </w:r>
      <w:r w:rsidR="001D53AC">
        <w:t>We include two political variables</w:t>
      </w:r>
      <w:r>
        <w:t xml:space="preserve"> that reflect the level of Democratic control of state government</w:t>
      </w:r>
      <w:r w:rsidR="001D53AC">
        <w:t>.  The f</w:t>
      </w:r>
      <w:r w:rsidR="00B02BB8">
        <w:t>irst is a political index</w:t>
      </w:r>
      <w:r w:rsidR="0009374F">
        <w:t xml:space="preserve">, denoted </w:t>
      </w:r>
      <w:proofErr w:type="spellStart"/>
      <w:r w:rsidR="00B1067E" w:rsidRPr="00075E11">
        <w:rPr>
          <w:i/>
        </w:rPr>
        <w:t>PolIndex</w:t>
      </w:r>
      <w:proofErr w:type="spellEnd"/>
      <w:r w:rsidR="00B1067E">
        <w:t>, which</w:t>
      </w:r>
      <w:r>
        <w:t xml:space="preserve"> reflects historic control</w:t>
      </w:r>
      <w:r w:rsidR="000A779D">
        <w:t>.</w:t>
      </w:r>
      <w:r w:rsidR="00B02BB8">
        <w:t xml:space="preserve">  To construct the index we determined the number of years between 1958 and 1979 that Democrats controlled the upper house, the lower house, </w:t>
      </w:r>
      <w:r>
        <w:t>or</w:t>
      </w:r>
      <w:r w:rsidR="00B02BB8">
        <w:t xml:space="preserve"> the governor’s office.</w:t>
      </w:r>
      <w:r>
        <w:rPr>
          <w:rStyle w:val="FootnoteReference"/>
        </w:rPr>
        <w:footnoteReference w:id="17"/>
      </w:r>
      <w:r w:rsidR="00B02BB8">
        <w:t xml:space="preserve">  We divided the sum of these by </w:t>
      </w:r>
      <w:r w:rsidR="00862090">
        <w:t xml:space="preserve">3 </w:t>
      </w:r>
      <w:r w:rsidR="00B1067E">
        <w:t>times</w:t>
      </w:r>
      <w:r w:rsidR="00257FEC">
        <w:t xml:space="preserve"> </w:t>
      </w:r>
      <w:r w:rsidR="00B02BB8">
        <w:t>the total number of year</w:t>
      </w:r>
      <w:r w:rsidR="00862090">
        <w:t>s</w:t>
      </w:r>
      <w:r w:rsidR="00B02BB8">
        <w:t xml:space="preserve"> in the period</w:t>
      </w:r>
      <w:r w:rsidR="00B1067E">
        <w:t>; the index can thus vary from one to zero</w:t>
      </w:r>
      <w:r w:rsidR="00B02BB8">
        <w:t xml:space="preserve">.  Thus, if Democrats </w:t>
      </w:r>
      <w:r w:rsidR="004D2BBB">
        <w:t>controlled</w:t>
      </w:r>
      <w:r w:rsidR="00B02BB8">
        <w:t xml:space="preserve"> both houses and the governor’s office every year, the index would be equal to one.  </w:t>
      </w:r>
      <w:r w:rsidR="00DF7FA0">
        <w:t xml:space="preserve">The data on legislative control came from </w:t>
      </w:r>
      <w:proofErr w:type="spellStart"/>
      <w:r w:rsidR="00DF7FA0">
        <w:t>Dubin</w:t>
      </w:r>
      <w:proofErr w:type="spellEnd"/>
      <w:r w:rsidR="00DF7FA0">
        <w:t xml:space="preserve"> (2007) and the data on governor’s control came from various issues of the </w:t>
      </w:r>
      <w:r w:rsidR="00DF7FA0" w:rsidRPr="00075E11">
        <w:rPr>
          <w:i/>
        </w:rPr>
        <w:t>Statistical Abstract</w:t>
      </w:r>
      <w:r w:rsidR="00DF7FA0">
        <w:t>.</w:t>
      </w:r>
      <w:r w:rsidR="004D2BBB">
        <w:rPr>
          <w:rStyle w:val="FootnoteReference"/>
        </w:rPr>
        <w:footnoteReference w:id="18"/>
      </w:r>
      <w:r w:rsidR="00DF7FA0">
        <w:t xml:space="preserve"> The argument </w:t>
      </w:r>
      <w:r>
        <w:t xml:space="preserve">for using </w:t>
      </w:r>
      <w:proofErr w:type="spellStart"/>
      <w:r w:rsidRPr="000066F4">
        <w:rPr>
          <w:i/>
        </w:rPr>
        <w:t>PolIndex</w:t>
      </w:r>
      <w:proofErr w:type="spellEnd"/>
      <w:r>
        <w:t xml:space="preserve"> </w:t>
      </w:r>
      <w:r w:rsidR="00DF7FA0">
        <w:t xml:space="preserve">is that the current tax rate is driven by political considerations </w:t>
      </w:r>
      <w:r w:rsidR="00185824">
        <w:t xml:space="preserve">but </w:t>
      </w:r>
      <w:r w:rsidR="00DF7FA0">
        <w:t xml:space="preserve">that the tax rate is not likely to change significantly </w:t>
      </w:r>
      <w:r w:rsidR="00185824">
        <w:t>in any one year</w:t>
      </w:r>
      <w:r w:rsidR="00DF7FA0">
        <w:t>.</w:t>
      </w:r>
      <w:r w:rsidR="00185824">
        <w:t xml:space="preserve">  Thus, we argue that the current tax rate </w:t>
      </w:r>
      <w:r w:rsidR="003A7524">
        <w:t>i</w:t>
      </w:r>
      <w:r w:rsidR="00185824">
        <w:t>s a reflection of the effect of both historic and current political control.</w:t>
      </w:r>
      <w:r w:rsidR="00DF7FA0">
        <w:t xml:space="preserve">  The simple correlation coefficient between </w:t>
      </w:r>
      <w:proofErr w:type="spellStart"/>
      <w:r w:rsidR="0009374F" w:rsidRPr="00075E11">
        <w:rPr>
          <w:i/>
        </w:rPr>
        <w:t>PolI</w:t>
      </w:r>
      <w:r w:rsidR="00257FEC">
        <w:rPr>
          <w:i/>
        </w:rPr>
        <w:t>n</w:t>
      </w:r>
      <w:r w:rsidR="00DF7FA0" w:rsidRPr="00075E11">
        <w:rPr>
          <w:i/>
        </w:rPr>
        <w:t>dex</w:t>
      </w:r>
      <w:proofErr w:type="spellEnd"/>
      <w:r w:rsidR="00DF7FA0">
        <w:t xml:space="preserve"> and the </w:t>
      </w:r>
      <w:proofErr w:type="spellStart"/>
      <w:r w:rsidR="0009374F" w:rsidRPr="00075E11">
        <w:rPr>
          <w:i/>
        </w:rPr>
        <w:t>FRate</w:t>
      </w:r>
      <w:proofErr w:type="spellEnd"/>
      <w:r w:rsidR="00DF7FA0">
        <w:t xml:space="preserve"> is 0.</w:t>
      </w:r>
      <w:r w:rsidR="007C6860">
        <w:t>4</w:t>
      </w:r>
      <w:r w:rsidR="00974E2E">
        <w:t>82</w:t>
      </w:r>
      <w:r w:rsidR="00DF7FA0">
        <w:t xml:space="preserve">, while the correlation with </w:t>
      </w:r>
      <w:proofErr w:type="spellStart"/>
      <w:proofErr w:type="gramStart"/>
      <w:r w:rsidR="0009374F" w:rsidRPr="00075E11">
        <w:rPr>
          <w:i/>
        </w:rPr>
        <w:t>Emp</w:t>
      </w:r>
      <w:proofErr w:type="spellEnd"/>
      <w:proofErr w:type="gramEnd"/>
      <w:r w:rsidR="00DF7FA0">
        <w:t xml:space="preserve"> is </w:t>
      </w:r>
      <w:r w:rsidR="007C6860" w:rsidRPr="007C6860">
        <w:t>-0.0005</w:t>
      </w:r>
      <w:r w:rsidR="00DF7FA0">
        <w:t xml:space="preserve">.  This suggests that the political index is a good instrumental variable. </w:t>
      </w:r>
    </w:p>
    <w:p w:rsidR="00DF7FA0" w:rsidRDefault="00DF7FA0" w:rsidP="00FA418C">
      <w:pPr>
        <w:spacing w:line="480" w:lineRule="auto"/>
        <w:ind w:right="1440" w:firstLine="720"/>
      </w:pPr>
      <w:r>
        <w:t>The second political variable is a dummy variable</w:t>
      </w:r>
      <w:r w:rsidR="0009374F">
        <w:t xml:space="preserve">, denoted </w:t>
      </w:r>
      <w:r w:rsidR="00B1067E" w:rsidRPr="00075E11">
        <w:rPr>
          <w:i/>
        </w:rPr>
        <w:t>Dem</w:t>
      </w:r>
      <w:r w:rsidR="00B1067E">
        <w:t>, which</w:t>
      </w:r>
      <w:r>
        <w:t xml:space="preserve"> equals 1</w:t>
      </w:r>
      <w:r w:rsidR="00862090">
        <w:t xml:space="preserve"> in any year</w:t>
      </w:r>
      <w:r>
        <w:t xml:space="preserve"> if the Democrats control both legislative bodies and the governor’s office</w:t>
      </w:r>
      <w:r w:rsidR="00862090">
        <w:t>, and zero otherwise</w:t>
      </w:r>
      <w:r>
        <w:t>.</w:t>
      </w:r>
      <w:r>
        <w:rPr>
          <w:rStyle w:val="FootnoteReference"/>
        </w:rPr>
        <w:footnoteReference w:id="19"/>
      </w:r>
      <w:r>
        <w:t xml:space="preserve">  The correlation coefficient between </w:t>
      </w:r>
      <w:r w:rsidR="00426745" w:rsidRPr="00075E11">
        <w:rPr>
          <w:i/>
        </w:rPr>
        <w:t>Dem</w:t>
      </w:r>
      <w:r w:rsidR="00426745">
        <w:t xml:space="preserve"> and </w:t>
      </w:r>
      <w:r>
        <w:t xml:space="preserve">the </w:t>
      </w:r>
      <w:proofErr w:type="spellStart"/>
      <w:r w:rsidR="0009374F" w:rsidRPr="00075E11">
        <w:rPr>
          <w:i/>
        </w:rPr>
        <w:t>FRate</w:t>
      </w:r>
      <w:proofErr w:type="spellEnd"/>
      <w:r w:rsidR="0009374F">
        <w:t xml:space="preserve"> </w:t>
      </w:r>
      <w:r>
        <w:t xml:space="preserve">is </w:t>
      </w:r>
      <w:r w:rsidR="007C6860" w:rsidRPr="007C6860">
        <w:t>0.0953</w:t>
      </w:r>
      <w:r>
        <w:t xml:space="preserve">, and </w:t>
      </w:r>
      <w:r w:rsidR="00426745">
        <w:t xml:space="preserve">is </w:t>
      </w:r>
      <w:r w:rsidR="007C6860" w:rsidRPr="007C6860">
        <w:t>-0.</w:t>
      </w:r>
      <w:r w:rsidR="00426745">
        <w:t xml:space="preserve">034 between </w:t>
      </w:r>
      <w:r w:rsidR="00D02F40">
        <w:rPr>
          <w:i/>
        </w:rPr>
        <w:t>Dem</w:t>
      </w:r>
      <w:r w:rsidR="00426745">
        <w:t xml:space="preserve"> </w:t>
      </w:r>
      <w:proofErr w:type="gramStart"/>
      <w:r w:rsidR="00426745">
        <w:t xml:space="preserve">and </w:t>
      </w:r>
      <w:r>
        <w:t xml:space="preserve"> </w:t>
      </w:r>
      <w:r w:rsidR="000A779D" w:rsidRPr="009667A2">
        <w:rPr>
          <w:i/>
        </w:rPr>
        <w:t>Emp</w:t>
      </w:r>
      <w:proofErr w:type="gramEnd"/>
      <w:r>
        <w:t>.</w:t>
      </w:r>
      <w:r w:rsidR="00185824">
        <w:t xml:space="preserve"> This is a weaker instrument</w:t>
      </w:r>
      <w:r w:rsidR="00B54A0E">
        <w:t xml:space="preserve"> than </w:t>
      </w:r>
      <w:proofErr w:type="spellStart"/>
      <w:r w:rsidR="004615F9" w:rsidRPr="00B1067E">
        <w:rPr>
          <w:i/>
        </w:rPr>
        <w:t>PolIndex</w:t>
      </w:r>
      <w:proofErr w:type="spellEnd"/>
      <w:r w:rsidR="00185824">
        <w:t>.</w:t>
      </w:r>
    </w:p>
    <w:p w:rsidR="00DF7FA0" w:rsidRDefault="00185824" w:rsidP="00FA418C">
      <w:pPr>
        <w:spacing w:line="480" w:lineRule="auto"/>
        <w:ind w:right="1440" w:firstLine="720"/>
      </w:pPr>
      <w:r>
        <w:t xml:space="preserve">The third </w:t>
      </w:r>
      <w:r w:rsidR="00862090">
        <w:t xml:space="preserve">instrumental </w:t>
      </w:r>
      <w:r>
        <w:t xml:space="preserve">variable is a measure of the corporate tax rate.  We argue that </w:t>
      </w:r>
      <w:r w:rsidR="00DF7FA0">
        <w:t>a high corporate income tax rate is a reflection of the tendency of the state to impose high taxes on businesses.  To create this variable</w:t>
      </w:r>
      <w:r w:rsidR="0009374F">
        <w:t xml:space="preserve">, denoted </w:t>
      </w:r>
      <w:r w:rsidR="0009374F" w:rsidRPr="00075E11">
        <w:rPr>
          <w:i/>
        </w:rPr>
        <w:t>CIT</w:t>
      </w:r>
      <w:r w:rsidR="0009374F">
        <w:t>,</w:t>
      </w:r>
      <w:r w:rsidR="00DF7FA0">
        <w:t xml:space="preserve"> we divided corporate income tax revenue for </w:t>
      </w:r>
      <w:r w:rsidR="00DF7FA0">
        <w:lastRenderedPageBreak/>
        <w:t xml:space="preserve">each state for each year by </w:t>
      </w:r>
      <w:r>
        <w:t xml:space="preserve">state </w:t>
      </w:r>
      <w:r w:rsidR="00DF7FA0">
        <w:t xml:space="preserve">personal income.  The correlation between </w:t>
      </w:r>
      <w:r w:rsidRPr="000066F4">
        <w:rPr>
          <w:i/>
        </w:rPr>
        <w:t>CIT</w:t>
      </w:r>
      <w:r w:rsidR="00DF7FA0">
        <w:t xml:space="preserve"> and the</w:t>
      </w:r>
      <w:r>
        <w:t xml:space="preserve"> foreign</w:t>
      </w:r>
      <w:r w:rsidR="00DF7FA0">
        <w:t xml:space="preserve"> tax rate </w:t>
      </w:r>
      <w:r w:rsidR="005F1CE0">
        <w:t>is</w:t>
      </w:r>
      <w:r w:rsidR="00B54A0E">
        <w:t xml:space="preserve"> </w:t>
      </w:r>
      <w:r w:rsidR="007C6860" w:rsidRPr="007C6860">
        <w:t>-0.0</w:t>
      </w:r>
      <w:r w:rsidR="00974E2E">
        <w:t>36</w:t>
      </w:r>
      <w:r w:rsidR="00426745">
        <w:t xml:space="preserve"> </w:t>
      </w:r>
      <w:r w:rsidR="00DF7FA0">
        <w:t>and</w:t>
      </w:r>
      <w:r w:rsidR="005F1CE0">
        <w:t xml:space="preserve"> is</w:t>
      </w:r>
      <w:r w:rsidR="00DF7FA0">
        <w:t xml:space="preserve"> </w:t>
      </w:r>
      <w:r w:rsidR="007C6860" w:rsidRPr="007C6860">
        <w:t>-0.0</w:t>
      </w:r>
      <w:r w:rsidR="00426745">
        <w:t xml:space="preserve">30 </w:t>
      </w:r>
      <w:r w:rsidR="00B54A0E">
        <w:t>with</w:t>
      </w:r>
      <w:r w:rsidR="00B54A0E" w:rsidRPr="00B54A0E">
        <w:rPr>
          <w:i/>
        </w:rPr>
        <w:t xml:space="preserve"> </w:t>
      </w:r>
      <w:r w:rsidR="00B54A0E" w:rsidRPr="003563C4">
        <w:rPr>
          <w:i/>
        </w:rPr>
        <w:t>Emp</w:t>
      </w:r>
      <w:r w:rsidR="004560F0">
        <w:t>.</w:t>
      </w:r>
    </w:p>
    <w:p w:rsidR="00884E4D" w:rsidRDefault="004560F0" w:rsidP="00FA418C">
      <w:pPr>
        <w:spacing w:line="480" w:lineRule="auto"/>
        <w:ind w:right="1440" w:firstLine="720"/>
      </w:pPr>
      <w:r>
        <w:t xml:space="preserve">Finally, we allow for differences by geographic area.  We divided the U.S. into two areas and created a variable </w:t>
      </w:r>
      <w:r w:rsidR="00E801E4">
        <w:t xml:space="preserve">denoted </w:t>
      </w:r>
      <w:r w:rsidR="00E801E4" w:rsidRPr="00E801E4">
        <w:rPr>
          <w:i/>
        </w:rPr>
        <w:t>E</w:t>
      </w:r>
      <w:r w:rsidR="0009374F">
        <w:rPr>
          <w:i/>
        </w:rPr>
        <w:t xml:space="preserve">ast, </w:t>
      </w:r>
      <w:r>
        <w:t>which</w:t>
      </w:r>
      <w:r w:rsidR="00E801E4">
        <w:t xml:space="preserve"> </w:t>
      </w:r>
      <w:r w:rsidR="003D4747">
        <w:t>equals one if the state is in</w:t>
      </w:r>
      <w:r w:rsidR="00E801E4">
        <w:t xml:space="preserve"> one of </w:t>
      </w:r>
      <w:r w:rsidR="003D4747">
        <w:t>the</w:t>
      </w:r>
      <w:r w:rsidR="00E801E4">
        <w:t xml:space="preserve"> following census regions:</w:t>
      </w:r>
      <w:r w:rsidR="003D4747">
        <w:t xml:space="preserve"> New England, Middle Atlantic, South Atlantic, or Eas</w:t>
      </w:r>
      <w:r w:rsidR="00E801E4">
        <w:t>t South Central</w:t>
      </w:r>
      <w:r w:rsidR="003D4747">
        <w:t xml:space="preserve">. </w:t>
      </w:r>
      <w:r>
        <w:t xml:space="preserve"> </w:t>
      </w:r>
      <w:r w:rsidRPr="00075E11">
        <w:rPr>
          <w:i/>
        </w:rPr>
        <w:t>East</w:t>
      </w:r>
      <w:r>
        <w:t xml:space="preserve"> </w:t>
      </w:r>
      <w:r w:rsidR="003D4747">
        <w:t xml:space="preserve">is highly correlated with </w:t>
      </w:r>
      <w:proofErr w:type="spellStart"/>
      <w:r w:rsidR="0009374F" w:rsidRPr="00075E11">
        <w:rPr>
          <w:i/>
        </w:rPr>
        <w:t>FRate</w:t>
      </w:r>
      <w:proofErr w:type="spellEnd"/>
      <w:r w:rsidR="003D4747">
        <w:t xml:space="preserve"> (correlation coefficient equal</w:t>
      </w:r>
      <w:r w:rsidR="00E801E4">
        <w:t>s</w:t>
      </w:r>
      <w:r w:rsidR="003D4747">
        <w:t xml:space="preserve"> </w:t>
      </w:r>
      <w:r w:rsidR="007C6860" w:rsidRPr="007C6860">
        <w:t>0.220</w:t>
      </w:r>
      <w:r w:rsidR="003D4747">
        <w:t>) but has essentially a zero correlation with property-casualty employment (correlation coefficient equa</w:t>
      </w:r>
      <w:r w:rsidR="009241EE">
        <w:t>l</w:t>
      </w:r>
      <w:r w:rsidR="00E801E4">
        <w:t>s</w:t>
      </w:r>
      <w:r w:rsidR="003D4747">
        <w:t xml:space="preserve"> </w:t>
      </w:r>
      <w:r w:rsidR="007C6860" w:rsidRPr="007C6860">
        <w:t>-0.01</w:t>
      </w:r>
      <w:r w:rsidR="00426745">
        <w:t>5</w:t>
      </w:r>
      <w:r w:rsidR="003D4747">
        <w:t xml:space="preserve">).  </w:t>
      </w:r>
      <w:r w:rsidR="001517CA">
        <w:t xml:space="preserve">The simple correlation coefficients suggest that this is a strong instrument. </w:t>
      </w:r>
      <w:r w:rsidR="00B54A0E">
        <w:t xml:space="preserve">While </w:t>
      </w:r>
      <w:r w:rsidR="00B54A0E" w:rsidRPr="000066F4">
        <w:rPr>
          <w:i/>
        </w:rPr>
        <w:t>East</w:t>
      </w:r>
      <w:r w:rsidR="001517CA">
        <w:t xml:space="preserve"> </w:t>
      </w:r>
      <w:r w:rsidR="00B54A0E">
        <w:t xml:space="preserve">appears to be a strong instrument on technical grounds, we do not have a robust intuitive story for why </w:t>
      </w:r>
      <w:r w:rsidR="00B54A0E" w:rsidRPr="009667A2">
        <w:rPr>
          <w:i/>
        </w:rPr>
        <w:t>East</w:t>
      </w:r>
      <w:r w:rsidR="00B54A0E">
        <w:t xml:space="preserve"> should affect </w:t>
      </w:r>
      <w:proofErr w:type="spellStart"/>
      <w:r w:rsidR="000A779D">
        <w:rPr>
          <w:i/>
        </w:rPr>
        <w:t>FRate</w:t>
      </w:r>
      <w:proofErr w:type="spellEnd"/>
      <w:r w:rsidR="000A779D">
        <w:t xml:space="preserve"> </w:t>
      </w:r>
      <w:r w:rsidR="00B54A0E">
        <w:t xml:space="preserve">but not </w:t>
      </w:r>
      <w:r w:rsidR="00B54A0E" w:rsidRPr="000066F4">
        <w:rPr>
          <w:i/>
        </w:rPr>
        <w:t>Emp</w:t>
      </w:r>
      <w:r w:rsidR="00B54A0E">
        <w:t xml:space="preserve">. </w:t>
      </w:r>
      <w:r w:rsidR="00C90812">
        <w:t xml:space="preserve"> However, o</w:t>
      </w:r>
      <w:r w:rsidR="003D4747">
        <w:t xml:space="preserve">ne </w:t>
      </w:r>
      <w:r w:rsidR="00FE4178">
        <w:t xml:space="preserve">possible </w:t>
      </w:r>
      <w:r w:rsidR="003D4747">
        <w:t xml:space="preserve">explanation is that the insurance industry started in the east, with states setting high premium tax rates.  As other states established insurance premium taxes other revenue sources were available so those states did not impose as high a </w:t>
      </w:r>
      <w:r w:rsidR="00257FEC">
        <w:t xml:space="preserve">premium </w:t>
      </w:r>
      <w:r w:rsidR="003D4747">
        <w:t xml:space="preserve">tax rate.  While tax rates have changed over time, the east has retained relatively higher </w:t>
      </w:r>
      <w:r w:rsidR="00257FEC">
        <w:t xml:space="preserve">premium </w:t>
      </w:r>
      <w:r w:rsidR="003D4747">
        <w:t>tax rates.</w:t>
      </w:r>
    </w:p>
    <w:p w:rsidR="00F33F68" w:rsidRDefault="000C1504" w:rsidP="00FA418C">
      <w:pPr>
        <w:spacing w:line="480" w:lineRule="auto"/>
        <w:ind w:right="1440" w:firstLine="720"/>
      </w:pPr>
      <w:r>
        <w:t xml:space="preserve">Table </w:t>
      </w:r>
      <w:r w:rsidR="006B4D8F">
        <w:t>3</w:t>
      </w:r>
      <w:r>
        <w:t xml:space="preserve"> contains the </w:t>
      </w:r>
      <w:r w:rsidR="00215B35">
        <w:t xml:space="preserve">first-stage </w:t>
      </w:r>
      <w:r>
        <w:t xml:space="preserve">results of </w:t>
      </w:r>
      <w:r w:rsidR="00B2261F">
        <w:t xml:space="preserve">the </w:t>
      </w:r>
      <w:r w:rsidR="00B4744D">
        <w:t>2SLS regressions</w:t>
      </w:r>
      <w:r w:rsidR="00D726BD">
        <w:t xml:space="preserve"> and</w:t>
      </w:r>
      <w:r w:rsidR="00215B35">
        <w:t xml:space="preserve"> Table </w:t>
      </w:r>
      <w:r w:rsidR="0053548C">
        <w:t>4</w:t>
      </w:r>
      <w:r w:rsidR="00215B35">
        <w:t xml:space="preserve"> contain</w:t>
      </w:r>
      <w:r w:rsidR="0009374F">
        <w:t>s</w:t>
      </w:r>
      <w:r w:rsidR="00215B35">
        <w:t xml:space="preserve"> the second-stage results</w:t>
      </w:r>
      <w:r w:rsidR="001517CA">
        <w:t xml:space="preserve"> for the model equivalent to </w:t>
      </w:r>
      <w:r w:rsidR="00426745">
        <w:t xml:space="preserve">column 2 </w:t>
      </w:r>
      <w:r w:rsidR="001517CA">
        <w:t xml:space="preserve">in </w:t>
      </w:r>
      <w:r w:rsidR="001517CA" w:rsidRPr="001517CA">
        <w:t>Table 2</w:t>
      </w:r>
      <w:r w:rsidR="00215B35" w:rsidRPr="001517CA">
        <w:t>.</w:t>
      </w:r>
      <w:r w:rsidR="001517CA" w:rsidRPr="001517CA">
        <w:t xml:space="preserve"> </w:t>
      </w:r>
      <w:r w:rsidR="00A173F4">
        <w:t xml:space="preserve"> </w:t>
      </w:r>
      <w:r w:rsidR="004A76C3">
        <w:t xml:space="preserve">In the case of </w:t>
      </w:r>
      <w:r w:rsidR="00B42544">
        <w:t>t</w:t>
      </w:r>
      <w:r w:rsidR="00215B35" w:rsidRPr="001517CA">
        <w:t>he first-stage results</w:t>
      </w:r>
      <w:r w:rsidR="004A76C3">
        <w:t>,</w:t>
      </w:r>
      <w:r w:rsidR="00D726BD">
        <w:t xml:space="preserve"> t</w:t>
      </w:r>
      <w:r w:rsidR="00F33F68">
        <w:t xml:space="preserve">he coefficients on </w:t>
      </w:r>
      <w:r w:rsidR="00782524">
        <w:t>t</w:t>
      </w:r>
      <w:r w:rsidR="00426745">
        <w:t xml:space="preserve">hree </w:t>
      </w:r>
      <w:r w:rsidR="00782524">
        <w:t xml:space="preserve">of </w:t>
      </w:r>
      <w:r w:rsidR="00F33F68">
        <w:t xml:space="preserve">the </w:t>
      </w:r>
      <w:r w:rsidR="00B42544">
        <w:t>instrumental</w:t>
      </w:r>
      <w:r w:rsidR="00F33F68">
        <w:t xml:space="preserve"> variables</w:t>
      </w:r>
      <w:r w:rsidR="00782524">
        <w:t xml:space="preserve">, </w:t>
      </w:r>
      <w:r w:rsidR="00426745" w:rsidRPr="008934BE">
        <w:rPr>
          <w:i/>
        </w:rPr>
        <w:t>East</w:t>
      </w:r>
      <w:r w:rsidR="00426745">
        <w:t xml:space="preserve">, </w:t>
      </w:r>
      <w:proofErr w:type="spellStart"/>
      <w:r w:rsidR="00782524" w:rsidRPr="008934BE">
        <w:rPr>
          <w:i/>
        </w:rPr>
        <w:t>PolIndex</w:t>
      </w:r>
      <w:proofErr w:type="spellEnd"/>
      <w:r w:rsidR="00782524">
        <w:t xml:space="preserve"> and </w:t>
      </w:r>
      <w:r w:rsidR="00782524" w:rsidRPr="008934BE">
        <w:rPr>
          <w:i/>
        </w:rPr>
        <w:t>Dem</w:t>
      </w:r>
      <w:r w:rsidR="00B42544">
        <w:t xml:space="preserve"> </w:t>
      </w:r>
      <w:r w:rsidR="00F33F68">
        <w:t>have the expected positive sign</w:t>
      </w:r>
      <w:r w:rsidR="00426745">
        <w:t xml:space="preserve"> and are</w:t>
      </w:r>
      <w:r w:rsidR="00782524">
        <w:t xml:space="preserve"> </w:t>
      </w:r>
      <w:r w:rsidR="00F33F68">
        <w:t xml:space="preserve">statistically significant.  </w:t>
      </w:r>
      <w:r w:rsidR="009353A1">
        <w:t xml:space="preserve">The coefficient on </w:t>
      </w:r>
      <w:r w:rsidR="009353A1" w:rsidRPr="008934BE">
        <w:rPr>
          <w:i/>
        </w:rPr>
        <w:t>CIT</w:t>
      </w:r>
      <w:r w:rsidR="009353A1">
        <w:t xml:space="preserve"> has an unexpected negative sign</w:t>
      </w:r>
      <w:r w:rsidR="00426745">
        <w:t>, but</w:t>
      </w:r>
      <w:r w:rsidR="009353A1">
        <w:t xml:space="preserve"> is statistically significant. </w:t>
      </w:r>
      <w:r w:rsidR="00D02F40">
        <w:t xml:space="preserve">(Excluding </w:t>
      </w:r>
      <w:r w:rsidR="00D02F40" w:rsidRPr="008934BE">
        <w:rPr>
          <w:i/>
        </w:rPr>
        <w:t>CIT</w:t>
      </w:r>
      <w:r w:rsidR="009353A1">
        <w:t xml:space="preserve"> </w:t>
      </w:r>
      <w:r w:rsidR="00D02F40">
        <w:t>yields second state results that the same as reported in Table 4)</w:t>
      </w:r>
      <w:r w:rsidR="000E2BCB">
        <w:t xml:space="preserve">.  </w:t>
      </w:r>
      <w:r w:rsidR="00F33F68">
        <w:t xml:space="preserve"> </w:t>
      </w:r>
    </w:p>
    <w:p w:rsidR="007C6860" w:rsidRPr="008934BE" w:rsidRDefault="00612A50" w:rsidP="00FA418C">
      <w:pPr>
        <w:spacing w:line="480" w:lineRule="auto"/>
        <w:ind w:right="1440" w:firstLine="720"/>
        <w:rPr>
          <w:b/>
        </w:rPr>
      </w:pPr>
      <w:r>
        <w:t xml:space="preserve">The instruments pass the </w:t>
      </w:r>
      <w:proofErr w:type="spellStart"/>
      <w:r>
        <w:t>underidentification</w:t>
      </w:r>
      <w:proofErr w:type="spellEnd"/>
      <w:r>
        <w:t xml:space="preserve"> test</w:t>
      </w:r>
      <w:r w:rsidR="00B42544">
        <w:t xml:space="preserve"> </w:t>
      </w:r>
      <w:r w:rsidR="00491328">
        <w:t xml:space="preserve">(i.e., the </w:t>
      </w:r>
      <w:proofErr w:type="spellStart"/>
      <w:r w:rsidR="00491328">
        <w:rPr>
          <w:color w:val="000000"/>
          <w:sz w:val="22"/>
          <w:szCs w:val="22"/>
        </w:rPr>
        <w:t>Kleibergen-Paap</w:t>
      </w:r>
      <w:proofErr w:type="spellEnd"/>
      <w:r w:rsidR="00491328">
        <w:rPr>
          <w:color w:val="000000"/>
          <w:sz w:val="22"/>
          <w:szCs w:val="22"/>
        </w:rPr>
        <w:t xml:space="preserve"> </w:t>
      </w:r>
      <w:proofErr w:type="spellStart"/>
      <w:r w:rsidR="00491328">
        <w:rPr>
          <w:color w:val="000000"/>
          <w:sz w:val="22"/>
          <w:szCs w:val="22"/>
        </w:rPr>
        <w:t>rk</w:t>
      </w:r>
      <w:proofErr w:type="spellEnd"/>
      <w:r w:rsidR="00491328">
        <w:rPr>
          <w:color w:val="000000"/>
          <w:sz w:val="22"/>
          <w:szCs w:val="22"/>
        </w:rPr>
        <w:t xml:space="preserve"> LM statistic test </w:t>
      </w:r>
      <w:r w:rsidR="00B42544">
        <w:t>and t</w:t>
      </w:r>
      <w:r w:rsidRPr="001517CA">
        <w:t xml:space="preserve">he </w:t>
      </w:r>
      <w:proofErr w:type="spellStart"/>
      <w:r w:rsidRPr="00144FC2">
        <w:t>Kleibergen-Paap</w:t>
      </w:r>
      <w:proofErr w:type="spellEnd"/>
      <w:r w:rsidRPr="00144FC2">
        <w:t xml:space="preserve"> Wald F statistic test</w:t>
      </w:r>
      <w:r w:rsidR="00D02F40">
        <w:t>)</w:t>
      </w:r>
      <w:r w:rsidR="00B42544">
        <w:t xml:space="preserve">, </w:t>
      </w:r>
      <w:r w:rsidR="00D726BD">
        <w:t>implying</w:t>
      </w:r>
      <w:r w:rsidRPr="00144FC2">
        <w:t xml:space="preserve"> that we can reject </w:t>
      </w:r>
      <w:r>
        <w:t xml:space="preserve">the hypothesis </w:t>
      </w:r>
      <w:r w:rsidRPr="00144FC2">
        <w:t>that our instruments are weak.</w:t>
      </w:r>
      <w:r w:rsidR="00D44C9C">
        <w:rPr>
          <w:rStyle w:val="FootnoteReference"/>
        </w:rPr>
        <w:footnoteReference w:id="20"/>
      </w:r>
      <w:r w:rsidRPr="00144FC2">
        <w:t xml:space="preserve"> </w:t>
      </w:r>
      <w:r w:rsidR="007C6860">
        <w:t xml:space="preserve">Model 2’s diagnostics statistics for under-identification </w:t>
      </w:r>
      <w:r w:rsidR="007C6860">
        <w:lastRenderedPageBreak/>
        <w:t>(</w:t>
      </w:r>
      <w:proofErr w:type="spellStart"/>
      <w:r w:rsidR="007C6860">
        <w:t>Kleibergen</w:t>
      </w:r>
      <w:proofErr w:type="spellEnd"/>
      <w:r w:rsidR="007C6860">
        <w:t xml:space="preserve">-Papp) and </w:t>
      </w:r>
      <w:proofErr w:type="spellStart"/>
      <w:r w:rsidR="007C6860">
        <w:t>orthogonality</w:t>
      </w:r>
      <w:proofErr w:type="spellEnd"/>
      <w:r w:rsidR="007C6860">
        <w:t xml:space="preserve"> (Hansen’s J) suggest that the instruments used in the first stage are acceptable.</w:t>
      </w:r>
      <w:r w:rsidR="007C6860" w:rsidRPr="008934BE">
        <w:rPr>
          <w:b/>
        </w:rPr>
        <w:t xml:space="preserve"> </w:t>
      </w:r>
    </w:p>
    <w:p w:rsidR="00E905FB" w:rsidRPr="00B3020D" w:rsidRDefault="0068644B" w:rsidP="00FA418C">
      <w:pPr>
        <w:spacing w:line="480" w:lineRule="auto"/>
        <w:ind w:right="1440" w:firstLine="720"/>
      </w:pPr>
      <w:r>
        <w:t xml:space="preserve">The </w:t>
      </w:r>
      <w:r w:rsidR="00F33F68">
        <w:t xml:space="preserve">second-stage results </w:t>
      </w:r>
      <w:r w:rsidR="000E2BCB">
        <w:t xml:space="preserve">(column 1 of Table </w:t>
      </w:r>
      <w:r w:rsidR="0053548C">
        <w:t>4</w:t>
      </w:r>
      <w:r w:rsidR="000E2BCB">
        <w:t xml:space="preserve">) </w:t>
      </w:r>
      <w:r w:rsidR="00BE47C1">
        <w:t>are</w:t>
      </w:r>
      <w:r w:rsidR="000E2BCB">
        <w:t xml:space="preserve"> </w:t>
      </w:r>
      <w:r>
        <w:t xml:space="preserve">generally </w:t>
      </w:r>
      <w:r w:rsidR="000E2BCB">
        <w:t>similar</w:t>
      </w:r>
      <w:r w:rsidR="000615F5">
        <w:t xml:space="preserve"> to</w:t>
      </w:r>
      <w:r w:rsidR="000E2BCB">
        <w:t xml:space="preserve"> those in column </w:t>
      </w:r>
      <w:r>
        <w:t>2</w:t>
      </w:r>
      <w:r w:rsidR="000E2BCB">
        <w:t xml:space="preserve"> of Table 2.  </w:t>
      </w:r>
      <w:r>
        <w:t>However,</w:t>
      </w:r>
      <w:r w:rsidR="008C6A03">
        <w:t xml:space="preserve"> </w:t>
      </w:r>
      <w:r w:rsidR="000E2BCB">
        <w:t>the coefficient</w:t>
      </w:r>
      <w:r w:rsidR="000D32BF">
        <w:t>s</w:t>
      </w:r>
      <w:r w:rsidR="000E2BCB">
        <w:t xml:space="preserve"> on </w:t>
      </w:r>
      <w:proofErr w:type="spellStart"/>
      <w:r w:rsidR="0009374F" w:rsidRPr="00075E11">
        <w:rPr>
          <w:i/>
        </w:rPr>
        <w:t>FRate</w:t>
      </w:r>
      <w:proofErr w:type="spellEnd"/>
      <w:r w:rsidR="0009374F">
        <w:t xml:space="preserve"> </w:t>
      </w:r>
      <w:r w:rsidR="00E905FB">
        <w:t xml:space="preserve">and </w:t>
      </w:r>
      <w:proofErr w:type="spellStart"/>
      <w:r w:rsidR="00C51BB8">
        <w:rPr>
          <w:i/>
        </w:rPr>
        <w:t>DifRate</w:t>
      </w:r>
      <w:proofErr w:type="spellEnd"/>
      <w:r w:rsidR="00E905FB">
        <w:t xml:space="preserve"> </w:t>
      </w:r>
      <w:r w:rsidR="000D32BF">
        <w:t>are</w:t>
      </w:r>
      <w:r w:rsidR="000E2BCB">
        <w:t xml:space="preserve"> much larger than those in Table 2. </w:t>
      </w:r>
      <w:r w:rsidR="00BE47C1">
        <w:t xml:space="preserve"> </w:t>
      </w:r>
      <w:r>
        <w:t>T</w:t>
      </w:r>
      <w:r w:rsidR="008C6A03">
        <w:t xml:space="preserve">he elasticity of employment with respect to </w:t>
      </w:r>
      <w:proofErr w:type="spellStart"/>
      <w:r w:rsidR="007813AD" w:rsidRPr="0040446D">
        <w:rPr>
          <w:i/>
        </w:rPr>
        <w:t>FRate</w:t>
      </w:r>
      <w:proofErr w:type="spellEnd"/>
      <w:r w:rsidR="008C6A03">
        <w:t xml:space="preserve"> is -1.</w:t>
      </w:r>
      <w:r w:rsidR="00070425">
        <w:t>4</w:t>
      </w:r>
      <w:r>
        <w:t>02</w:t>
      </w:r>
      <w:r w:rsidR="008C6A03">
        <w:t xml:space="preserve"> in column </w:t>
      </w:r>
      <w:r>
        <w:t xml:space="preserve">1 </w:t>
      </w:r>
      <w:r w:rsidR="008C6A03">
        <w:t>of Table 4 compared to -</w:t>
      </w:r>
      <w:r w:rsidR="00070425">
        <w:t>0</w:t>
      </w:r>
      <w:r w:rsidR="008C6A03">
        <w:t>.</w:t>
      </w:r>
      <w:r w:rsidR="00070425">
        <w:t>662</w:t>
      </w:r>
      <w:r w:rsidR="008C6A03">
        <w:t xml:space="preserve"> in column 2 of Table 2. </w:t>
      </w:r>
      <w:r w:rsidR="000E2BCB">
        <w:t xml:space="preserve">There is some change in the </w:t>
      </w:r>
      <w:r w:rsidR="00E22D8A">
        <w:t xml:space="preserve">size of the </w:t>
      </w:r>
      <w:r w:rsidR="000E2BCB">
        <w:t xml:space="preserve">coefficients on the </w:t>
      </w:r>
      <w:r w:rsidR="00E22D8A">
        <w:t xml:space="preserve">state </w:t>
      </w:r>
      <w:r w:rsidR="000E2BCB">
        <w:t>control variable</w:t>
      </w:r>
      <w:r w:rsidR="000A779D">
        <w:t>s</w:t>
      </w:r>
      <w:r>
        <w:t xml:space="preserve">, the </w:t>
      </w:r>
      <w:r w:rsidR="00070425">
        <w:t xml:space="preserve">coefficients on </w:t>
      </w:r>
      <w:proofErr w:type="spellStart"/>
      <w:r w:rsidR="00070425" w:rsidRPr="008934BE">
        <w:rPr>
          <w:i/>
        </w:rPr>
        <w:t>Reg</w:t>
      </w:r>
      <w:proofErr w:type="spellEnd"/>
      <w:r w:rsidR="00070425">
        <w:t xml:space="preserve"> and </w:t>
      </w:r>
      <w:r w:rsidR="00070425" w:rsidRPr="008934BE">
        <w:rPr>
          <w:i/>
        </w:rPr>
        <w:t>MFG</w:t>
      </w:r>
      <w:r w:rsidR="00070425">
        <w:t xml:space="preserve"> become</w:t>
      </w:r>
      <w:r w:rsidR="00E22D8A">
        <w:t xml:space="preserve"> statistical significant</w:t>
      </w:r>
      <w:r>
        <w:t xml:space="preserve">, and </w:t>
      </w:r>
      <w:r w:rsidR="007A41C9">
        <w:t xml:space="preserve">the coefficient on </w:t>
      </w:r>
      <w:r w:rsidR="007A41C9" w:rsidRPr="008934BE">
        <w:rPr>
          <w:i/>
        </w:rPr>
        <w:t>ST</w:t>
      </w:r>
      <w:r>
        <w:t xml:space="preserve"> changes sign</w:t>
      </w:r>
      <w:r w:rsidR="000E2BCB">
        <w:t xml:space="preserve">. </w:t>
      </w:r>
    </w:p>
    <w:p w:rsidR="00512D64" w:rsidRDefault="000E2BCB" w:rsidP="00FA418C">
      <w:pPr>
        <w:spacing w:line="480" w:lineRule="auto"/>
        <w:ind w:right="1440" w:firstLine="720"/>
        <w:jc w:val="center"/>
      </w:pPr>
      <w:r w:rsidDel="000E2BCB">
        <w:t xml:space="preserve"> </w:t>
      </w:r>
      <w:r w:rsidR="00F4618C">
        <w:t>[Insert T</w:t>
      </w:r>
      <w:r w:rsidR="00512D64">
        <w:t>a</w:t>
      </w:r>
      <w:r w:rsidR="00F4618C">
        <w:t xml:space="preserve">ble </w:t>
      </w:r>
      <w:r w:rsidR="0053548C">
        <w:t>3</w:t>
      </w:r>
      <w:r w:rsidR="00F4618C">
        <w:t xml:space="preserve"> </w:t>
      </w:r>
      <w:r w:rsidR="00C744FB">
        <w:t>h</w:t>
      </w:r>
      <w:r w:rsidR="00F4618C">
        <w:t>ere]</w:t>
      </w:r>
    </w:p>
    <w:p w:rsidR="00512D64" w:rsidRDefault="00512D64" w:rsidP="00FA418C">
      <w:pPr>
        <w:spacing w:line="480" w:lineRule="auto"/>
        <w:ind w:right="1440" w:firstLine="720"/>
        <w:jc w:val="center"/>
      </w:pPr>
      <w:r w:rsidDel="00711E14">
        <w:t xml:space="preserve"> </w:t>
      </w:r>
      <w:r>
        <w:t xml:space="preserve">[Insert Table </w:t>
      </w:r>
      <w:r w:rsidR="0053548C">
        <w:t>4</w:t>
      </w:r>
      <w:r>
        <w:t xml:space="preserve"> here]</w:t>
      </w:r>
    </w:p>
    <w:p w:rsidR="00B3020D" w:rsidRDefault="0078616C" w:rsidP="00FA418C">
      <w:pPr>
        <w:spacing w:line="480" w:lineRule="auto"/>
        <w:ind w:right="1440" w:firstLine="360"/>
      </w:pPr>
      <w:r w:rsidRPr="00D83028">
        <w:tab/>
      </w:r>
      <w:r w:rsidR="00D83028">
        <w:t xml:space="preserve">The results from Tables 2 </w:t>
      </w:r>
      <w:r w:rsidR="0053548C">
        <w:t>and 4</w:t>
      </w:r>
      <w:r w:rsidR="00D83028">
        <w:t xml:space="preserve"> provide evidence that the insurance premium tax rate has a negative effect on state employment in the </w:t>
      </w:r>
      <w:r w:rsidR="00D63EEC">
        <w:t>property-</w:t>
      </w:r>
      <w:r w:rsidR="00D83028">
        <w:t xml:space="preserve">casualty insurance industry. </w:t>
      </w:r>
      <w:r w:rsidR="00B3020D">
        <w:t xml:space="preserve"> </w:t>
      </w:r>
      <w:r w:rsidR="002D0575">
        <w:t>Overall, t</w:t>
      </w:r>
      <w:r w:rsidR="00B3020D">
        <w:t xml:space="preserve">he estimated elasticity of </w:t>
      </w:r>
      <w:proofErr w:type="spellStart"/>
      <w:proofErr w:type="gramStart"/>
      <w:r w:rsidR="004615F9" w:rsidRPr="00B1067E">
        <w:rPr>
          <w:i/>
        </w:rPr>
        <w:t>Emp</w:t>
      </w:r>
      <w:proofErr w:type="spellEnd"/>
      <w:proofErr w:type="gramEnd"/>
      <w:r w:rsidR="00B3020D">
        <w:t xml:space="preserve"> with respect to </w:t>
      </w:r>
      <w:proofErr w:type="spellStart"/>
      <w:r w:rsidR="004615F9" w:rsidRPr="00B1067E">
        <w:rPr>
          <w:i/>
        </w:rPr>
        <w:t>FRate</w:t>
      </w:r>
      <w:proofErr w:type="spellEnd"/>
      <w:r w:rsidR="007E74B6">
        <w:rPr>
          <w:i/>
        </w:rPr>
        <w:t>,</w:t>
      </w:r>
      <w:r w:rsidR="002D0575">
        <w:t xml:space="preserve"> which </w:t>
      </w:r>
      <w:r w:rsidR="00B3020D">
        <w:t>var</w:t>
      </w:r>
      <w:r w:rsidR="002D0575">
        <w:t>ies</w:t>
      </w:r>
      <w:r w:rsidR="00B3020D">
        <w:t xml:space="preserve"> depending on the model, </w:t>
      </w:r>
      <w:r w:rsidR="002D0575">
        <w:t xml:space="preserve">provides </w:t>
      </w:r>
      <w:r w:rsidR="00B3020D">
        <w:t xml:space="preserve">evidence </w:t>
      </w:r>
      <w:r w:rsidR="00D86EDC">
        <w:t xml:space="preserve">the </w:t>
      </w:r>
      <w:r w:rsidR="002D0575">
        <w:t xml:space="preserve">premium </w:t>
      </w:r>
      <w:r w:rsidR="00D86EDC">
        <w:t>tax rate has a relatively large negative effect on industry employment.</w:t>
      </w:r>
      <w:r w:rsidR="00C20E39">
        <w:t xml:space="preserve">  </w:t>
      </w:r>
      <w:r w:rsidR="00264209">
        <w:t>The elasticity of -</w:t>
      </w:r>
      <w:r w:rsidR="00070425">
        <w:t>0.662</w:t>
      </w:r>
      <w:r w:rsidR="00264209">
        <w:t xml:space="preserve"> reported in column 2 of Table 2 implies that a 10 percent reduction in a state’s foreign tax rate, or 0.27 percentage points of the average value of </w:t>
      </w:r>
      <w:proofErr w:type="spellStart"/>
      <w:r w:rsidR="00264209" w:rsidRPr="00C0293B">
        <w:rPr>
          <w:i/>
        </w:rPr>
        <w:t>FRate</w:t>
      </w:r>
      <w:proofErr w:type="spellEnd"/>
      <w:r w:rsidR="00264209">
        <w:t xml:space="preserve">, would increase state employment in the property-casualty industry by </w:t>
      </w:r>
      <w:r w:rsidR="00070425">
        <w:t>6.6</w:t>
      </w:r>
      <w:r w:rsidR="00264209">
        <w:t xml:space="preserve"> percent.  Given average state employment in the industry of 9,700, the implication is that </w:t>
      </w:r>
      <w:r w:rsidR="00C20E39">
        <w:t xml:space="preserve">employment would increase by </w:t>
      </w:r>
      <w:r w:rsidR="00264209">
        <w:t>1,</w:t>
      </w:r>
      <w:r w:rsidR="007C6860">
        <w:t xml:space="preserve">409 </w:t>
      </w:r>
      <w:r w:rsidR="00C20E39">
        <w:t xml:space="preserve">employees for the average state.  </w:t>
      </w:r>
    </w:p>
    <w:p w:rsidR="00FB418B" w:rsidRDefault="00FB418B" w:rsidP="00FA418C">
      <w:pPr>
        <w:spacing w:line="480" w:lineRule="auto"/>
        <w:ind w:right="1440" w:firstLine="720"/>
      </w:pPr>
      <w:r>
        <w:t xml:space="preserve">Property-casualty employment is not normally distributed.  </w:t>
      </w:r>
      <w:r w:rsidR="003713DA">
        <w:t>To account for this w</w:t>
      </w:r>
      <w:r>
        <w:t xml:space="preserve">e </w:t>
      </w:r>
      <w:r w:rsidR="00507E64">
        <w:t xml:space="preserve">estimated </w:t>
      </w:r>
      <w:r>
        <w:t>the model</w:t>
      </w:r>
      <w:r w:rsidR="00507E64">
        <w:t xml:space="preserve"> using log of </w:t>
      </w:r>
      <w:proofErr w:type="spellStart"/>
      <w:proofErr w:type="gramStart"/>
      <w:r w:rsidR="00507E64" w:rsidRPr="008934BE">
        <w:rPr>
          <w:i/>
        </w:rPr>
        <w:t>Emp</w:t>
      </w:r>
      <w:proofErr w:type="spellEnd"/>
      <w:proofErr w:type="gramEnd"/>
      <w:r>
        <w:t xml:space="preserve"> </w:t>
      </w:r>
      <w:r w:rsidR="00137525">
        <w:t>(column 2 of Table 4).  We also estimated the model excluding the 5 states with the smallest property-casualty employment since there is a bunching of observations near zero employment (column 3</w:t>
      </w:r>
      <w:r w:rsidR="00D02F40">
        <w:t xml:space="preserve"> </w:t>
      </w:r>
      <w:r>
        <w:t>of Table 4</w:t>
      </w:r>
      <w:r w:rsidR="00137525">
        <w:t>)</w:t>
      </w:r>
      <w:r>
        <w:t xml:space="preserve">.  These results are consistent with the results in columns </w:t>
      </w:r>
      <w:r w:rsidR="004A76C3">
        <w:t>1</w:t>
      </w:r>
      <w:r w:rsidR="00137525">
        <w:t xml:space="preserve">, although the elasticity is smaller in the log </w:t>
      </w:r>
      <w:proofErr w:type="spellStart"/>
      <w:proofErr w:type="gramStart"/>
      <w:r w:rsidR="00137525" w:rsidRPr="008934BE">
        <w:rPr>
          <w:i/>
        </w:rPr>
        <w:t>Emp</w:t>
      </w:r>
      <w:proofErr w:type="spellEnd"/>
      <w:proofErr w:type="gramEnd"/>
      <w:r w:rsidR="00137525">
        <w:t xml:space="preserve"> regression</w:t>
      </w:r>
      <w:r>
        <w:t>,</w:t>
      </w:r>
      <w:r w:rsidR="00270CE0">
        <w:t xml:space="preserve">  </w:t>
      </w:r>
      <w:r w:rsidR="007C6860">
        <w:t xml:space="preserve"> </w:t>
      </w:r>
      <w:r>
        <w:t xml:space="preserve">  </w:t>
      </w:r>
    </w:p>
    <w:p w:rsidR="001D6D42" w:rsidRDefault="001D6D42" w:rsidP="0040446D">
      <w:pPr>
        <w:spacing w:line="480" w:lineRule="auto"/>
        <w:ind w:right="1440"/>
      </w:pPr>
    </w:p>
    <w:p w:rsidR="009D7371" w:rsidRPr="00BB2392" w:rsidRDefault="009D7371" w:rsidP="00FA418C">
      <w:pPr>
        <w:spacing w:line="480" w:lineRule="auto"/>
        <w:ind w:right="1440" w:firstLine="720"/>
        <w:rPr>
          <w:b/>
          <w:i/>
        </w:rPr>
      </w:pPr>
      <w:r w:rsidRPr="00BB2392">
        <w:rPr>
          <w:b/>
          <w:i/>
        </w:rPr>
        <w:t xml:space="preserve">5.2 </w:t>
      </w:r>
      <w:r w:rsidR="007813AD" w:rsidRPr="00BB2392">
        <w:rPr>
          <w:b/>
          <w:i/>
        </w:rPr>
        <w:t>Additional Re</w:t>
      </w:r>
      <w:r w:rsidR="001B2767" w:rsidRPr="00BB2392">
        <w:rPr>
          <w:b/>
          <w:i/>
        </w:rPr>
        <w:t>sults</w:t>
      </w:r>
    </w:p>
    <w:p w:rsidR="001D6D42" w:rsidRPr="0040446D" w:rsidRDefault="0053548C" w:rsidP="0040446D">
      <w:pPr>
        <w:spacing w:line="480" w:lineRule="auto"/>
        <w:ind w:right="1440"/>
        <w:rPr>
          <w:i/>
        </w:rPr>
      </w:pPr>
      <w:r>
        <w:tab/>
      </w:r>
      <w:r w:rsidR="007813AD" w:rsidRPr="0040446D">
        <w:rPr>
          <w:i/>
        </w:rPr>
        <w:t>Additional Measures of Industry Size</w:t>
      </w:r>
    </w:p>
    <w:p w:rsidR="00BC6C54" w:rsidRDefault="00AE7992" w:rsidP="00FA418C">
      <w:pPr>
        <w:spacing w:line="480" w:lineRule="auto"/>
        <w:ind w:right="1440" w:firstLine="720"/>
      </w:pPr>
      <w:r w:rsidRPr="00D83028">
        <w:t xml:space="preserve">Employment is </w:t>
      </w:r>
      <w:r w:rsidR="005B7284">
        <w:t>an important measure of</w:t>
      </w:r>
      <w:r w:rsidRPr="00D83028">
        <w:t xml:space="preserve"> the size of the property-casualty ind</w:t>
      </w:r>
      <w:r>
        <w:t>ustry in a state</w:t>
      </w:r>
      <w:r w:rsidR="005B7284">
        <w:t xml:space="preserve">, but only </w:t>
      </w:r>
      <w:r w:rsidR="005B7284" w:rsidRPr="00D83028">
        <w:t>one</w:t>
      </w:r>
      <w:r w:rsidR="005B7284">
        <w:t xml:space="preserve"> possible</w:t>
      </w:r>
      <w:r w:rsidR="005B7284" w:rsidRPr="00D83028">
        <w:t xml:space="preserve"> measure</w:t>
      </w:r>
      <w:r>
        <w:t xml:space="preserve">.  </w:t>
      </w:r>
      <w:r w:rsidR="005B7284">
        <w:t>I</w:t>
      </w:r>
      <w:r>
        <w:t>n addition</w:t>
      </w:r>
      <w:r w:rsidR="005B7284">
        <w:t xml:space="preserve"> to employment</w:t>
      </w:r>
      <w:r>
        <w:t xml:space="preserve">, we used several other dependent variables that </w:t>
      </w:r>
      <w:r w:rsidR="00BE47C1">
        <w:t xml:space="preserve">are </w:t>
      </w:r>
      <w:r>
        <w:t>reflect</w:t>
      </w:r>
      <w:r w:rsidR="00BE47C1">
        <w:t>ive of</w:t>
      </w:r>
      <w:r>
        <w:t xml:space="preserve"> the size of the property-casualty industry in a state</w:t>
      </w:r>
      <w:r w:rsidR="00185824">
        <w:t>, all of which we expect will be negatively a</w:t>
      </w:r>
      <w:r w:rsidR="00BE47C1">
        <w:t xml:space="preserve">ffected by </w:t>
      </w:r>
      <w:r w:rsidR="00185824">
        <w:t>the foreign tax rate</w:t>
      </w:r>
      <w:r>
        <w:t xml:space="preserve">.  </w:t>
      </w:r>
    </w:p>
    <w:p w:rsidR="00BC6C54" w:rsidRDefault="006C136F" w:rsidP="00FA418C">
      <w:pPr>
        <w:spacing w:line="480" w:lineRule="auto"/>
        <w:ind w:right="1440" w:firstLine="720"/>
      </w:pPr>
      <w:r>
        <w:t>First, we use the share of national property-casualty employment in a given state in a given year</w:t>
      </w:r>
      <w:r w:rsidR="00F30432">
        <w:t xml:space="preserve">, denoted </w:t>
      </w:r>
      <w:proofErr w:type="spellStart"/>
      <w:r w:rsidR="00F30432" w:rsidRPr="00075E11">
        <w:rPr>
          <w:i/>
        </w:rPr>
        <w:t>EmpShare</w:t>
      </w:r>
      <w:proofErr w:type="spellEnd"/>
      <w:r>
        <w:t xml:space="preserve">.  Since employment in all states is divided by the same national total, </w:t>
      </w:r>
      <w:r w:rsidR="00BC6C54">
        <w:t>for</w:t>
      </w:r>
      <w:r>
        <w:t xml:space="preserve"> any year using the share </w:t>
      </w:r>
      <w:r w:rsidR="00AE7992">
        <w:t>will produce regression results that are</w:t>
      </w:r>
      <w:r>
        <w:t xml:space="preserve"> equivalent to using total state employment.  However, by using </w:t>
      </w:r>
      <w:r w:rsidR="00AE7992">
        <w:t xml:space="preserve">the </w:t>
      </w:r>
      <w:r>
        <w:t>share for each year</w:t>
      </w:r>
      <w:r w:rsidR="00BC6C54">
        <w:t xml:space="preserve"> for the </w:t>
      </w:r>
      <w:r w:rsidR="00965459">
        <w:t>panel</w:t>
      </w:r>
      <w:r>
        <w:t xml:space="preserve"> we are in effect netting out the change in total U.S. employment</w:t>
      </w:r>
      <w:r w:rsidR="00D86EDC">
        <w:t xml:space="preserve"> in the industry</w:t>
      </w:r>
      <w:r>
        <w:t xml:space="preserve">. </w:t>
      </w:r>
      <w:r w:rsidR="00BC6C54">
        <w:t xml:space="preserve">   </w:t>
      </w:r>
    </w:p>
    <w:p w:rsidR="00BC6C54" w:rsidRDefault="006C136F" w:rsidP="00FA418C">
      <w:pPr>
        <w:spacing w:line="480" w:lineRule="auto"/>
        <w:ind w:right="1440" w:firstLine="720"/>
      </w:pPr>
      <w:r>
        <w:t xml:space="preserve"> Second, we use </w:t>
      </w:r>
      <w:r w:rsidR="00BC6C54">
        <w:t xml:space="preserve">the </w:t>
      </w:r>
      <w:r w:rsidR="005A4926">
        <w:t xml:space="preserve">log of the </w:t>
      </w:r>
      <w:r w:rsidR="00BC6C54">
        <w:t>number of property-casualty firms domiciled in the state each year</w:t>
      </w:r>
      <w:r w:rsidR="00F30432">
        <w:t>,</w:t>
      </w:r>
      <w:r w:rsidR="00185824">
        <w:t xml:space="preserve"> denoted</w:t>
      </w:r>
      <w:r w:rsidR="00F30432">
        <w:t xml:space="preserve"> </w:t>
      </w:r>
      <w:proofErr w:type="spellStart"/>
      <w:r w:rsidR="00F30432" w:rsidRPr="00075E11">
        <w:rPr>
          <w:i/>
        </w:rPr>
        <w:t>Dom</w:t>
      </w:r>
      <w:r w:rsidR="00C51BB8">
        <w:rPr>
          <w:i/>
        </w:rPr>
        <w:t>c</w:t>
      </w:r>
      <w:r w:rsidR="00F30432" w:rsidRPr="00075E11">
        <w:rPr>
          <w:i/>
        </w:rPr>
        <w:t>o</w:t>
      </w:r>
      <w:r w:rsidR="00C51BB8">
        <w:rPr>
          <w:i/>
        </w:rPr>
        <w:t>s</w:t>
      </w:r>
      <w:proofErr w:type="spellEnd"/>
      <w:r w:rsidR="0038341A">
        <w:t xml:space="preserve">.  </w:t>
      </w:r>
      <w:r w:rsidR="008063C6">
        <w:t>Because</w:t>
      </w:r>
      <w:r w:rsidR="0038341A">
        <w:t xml:space="preserve"> the total number of </w:t>
      </w:r>
      <w:r w:rsidR="00BC6C54">
        <w:t>property-casualty firms in the U.S.</w:t>
      </w:r>
      <w:r w:rsidR="0038341A">
        <w:t xml:space="preserve"> did not change much over this period, we d</w:t>
      </w:r>
      <w:r w:rsidR="00EC1682">
        <w:t>o</w:t>
      </w:r>
      <w:r w:rsidR="0038341A">
        <w:t xml:space="preserve"> not use the state’s share of total U.S. firms as a dependent variable.</w:t>
      </w:r>
      <w:r w:rsidR="00BC6C54">
        <w:t xml:space="preserve">    </w:t>
      </w:r>
    </w:p>
    <w:p w:rsidR="006C136F" w:rsidRDefault="008E113C" w:rsidP="00FA418C">
      <w:pPr>
        <w:spacing w:line="480" w:lineRule="auto"/>
        <w:ind w:right="1440" w:firstLine="720"/>
      </w:pPr>
      <w:r>
        <w:t xml:space="preserve">Third, we use </w:t>
      </w:r>
      <w:r w:rsidR="006C136F">
        <w:t>the annual volume of property-casual</w:t>
      </w:r>
      <w:r w:rsidR="004A76C3">
        <w:t>ty</w:t>
      </w:r>
      <w:r w:rsidR="006C136F">
        <w:t xml:space="preserve"> premiums </w:t>
      </w:r>
      <w:r w:rsidR="00185824">
        <w:t xml:space="preserve">(in millions) </w:t>
      </w:r>
      <w:r w:rsidR="006C136F">
        <w:t>written by firms</w:t>
      </w:r>
      <w:r>
        <w:t xml:space="preserve"> domiciled in the state</w:t>
      </w:r>
      <w:r w:rsidR="006C136F">
        <w:t xml:space="preserve">.  </w:t>
      </w:r>
      <w:r>
        <w:t>We measure this in three ways: total premium</w:t>
      </w:r>
      <w:r w:rsidR="00257FEC">
        <w:t>s</w:t>
      </w:r>
      <w:r>
        <w:t xml:space="preserve"> written in other states,</w:t>
      </w:r>
      <w:r w:rsidR="00F30432">
        <w:t xml:space="preserve"> denoted </w:t>
      </w:r>
      <w:r w:rsidR="00F30432" w:rsidRPr="00075E11">
        <w:rPr>
          <w:i/>
        </w:rPr>
        <w:t>Export,</w:t>
      </w:r>
      <w:r>
        <w:t xml:space="preserve"> which is a measure of</w:t>
      </w:r>
      <w:r w:rsidR="00185824">
        <w:t xml:space="preserve"> the industry’s</w:t>
      </w:r>
      <w:r>
        <w:t xml:space="preserve"> </w:t>
      </w:r>
      <w:r w:rsidR="00185824">
        <w:t>“</w:t>
      </w:r>
      <w:r>
        <w:t>exports</w:t>
      </w:r>
      <w:r w:rsidR="00185824">
        <w:t>” from the state</w:t>
      </w:r>
      <w:r>
        <w:t>; total premium</w:t>
      </w:r>
      <w:r w:rsidR="00257FEC">
        <w:t>s</w:t>
      </w:r>
      <w:r>
        <w:t xml:space="preserve"> written in and outside the state, </w:t>
      </w:r>
      <w:r w:rsidR="00F30432">
        <w:t xml:space="preserve">denoted </w:t>
      </w:r>
      <w:r w:rsidR="00803F36">
        <w:rPr>
          <w:i/>
        </w:rPr>
        <w:t>Output</w:t>
      </w:r>
      <w:r w:rsidR="00F30432" w:rsidRPr="00075E11">
        <w:rPr>
          <w:i/>
        </w:rPr>
        <w:t xml:space="preserve">, </w:t>
      </w:r>
      <w:r>
        <w:t xml:space="preserve">which is a measure of </w:t>
      </w:r>
      <w:r w:rsidR="00185824">
        <w:t xml:space="preserve">the industry’s </w:t>
      </w:r>
      <w:r>
        <w:t>output</w:t>
      </w:r>
      <w:r w:rsidR="00185824">
        <w:t xml:space="preserve"> in the state</w:t>
      </w:r>
      <w:r>
        <w:t>, and; the state</w:t>
      </w:r>
      <w:r w:rsidR="005B7284">
        <w:t>’s</w:t>
      </w:r>
      <w:r>
        <w:t xml:space="preserve"> share of total U.S. premiums written</w:t>
      </w:r>
      <w:r w:rsidR="00F30432">
        <w:t xml:space="preserve">, </w:t>
      </w:r>
      <w:r w:rsidR="00EC1682">
        <w:t xml:space="preserve">denoted </w:t>
      </w:r>
      <w:proofErr w:type="spellStart"/>
      <w:r w:rsidR="00F30432" w:rsidRPr="00075E11">
        <w:rPr>
          <w:i/>
        </w:rPr>
        <w:t>PremShare</w:t>
      </w:r>
      <w:proofErr w:type="spellEnd"/>
      <w:r>
        <w:t xml:space="preserve">.     </w:t>
      </w:r>
    </w:p>
    <w:p w:rsidR="005A4926" w:rsidRDefault="006C136F" w:rsidP="008934BE">
      <w:pPr>
        <w:spacing w:line="480" w:lineRule="auto"/>
        <w:ind w:right="1440" w:firstLine="720"/>
      </w:pPr>
      <w:r>
        <w:t>Finally, we use the number of insurance agents employed in a state in a given year,</w:t>
      </w:r>
      <w:r w:rsidR="00F30432">
        <w:t xml:space="preserve"> denoted </w:t>
      </w:r>
      <w:r w:rsidR="00F30432" w:rsidRPr="00075E11">
        <w:rPr>
          <w:i/>
        </w:rPr>
        <w:t>Agents,</w:t>
      </w:r>
      <w:r>
        <w:t xml:space="preserve"> </w:t>
      </w:r>
      <w:r w:rsidR="005B7284">
        <w:t xml:space="preserve">where employment is that reported </w:t>
      </w:r>
      <w:r w:rsidR="00EC1682">
        <w:t>for</w:t>
      </w:r>
      <w:r w:rsidR="005B7284">
        <w:t xml:space="preserve"> the industry </w:t>
      </w:r>
      <w:r>
        <w:t xml:space="preserve">defined as NAICS series 5242.  Agents may sell property-casualty and/or life and health products and </w:t>
      </w:r>
      <w:r w:rsidR="00AE7992">
        <w:t xml:space="preserve">thus </w:t>
      </w:r>
      <w:r>
        <w:t xml:space="preserve">the number of </w:t>
      </w:r>
      <w:r>
        <w:lastRenderedPageBreak/>
        <w:t xml:space="preserve">agents in a state is assumed to be driven </w:t>
      </w:r>
      <w:r w:rsidR="00D86EDC">
        <w:t xml:space="preserve">in large part </w:t>
      </w:r>
      <w:r>
        <w:t xml:space="preserve">by the size of the insurance market in the state.  </w:t>
      </w:r>
      <w:r w:rsidR="005B7284">
        <w:t>A</w:t>
      </w:r>
      <w:r w:rsidR="00247EB9">
        <w:t xml:space="preserve">gents are the sales force for insurers and can be directly employed by an insurer to act as an agent within a state, operate as employees of a “franchise”, or operate as agents of independent contractors.  Further, they can sell any type of insurance for which they have a license, including property-casualty and life insurance products.  </w:t>
      </w:r>
      <w:r w:rsidR="000B728E">
        <w:t>While we are not able to control for the effect of the states</w:t>
      </w:r>
      <w:r w:rsidR="00907692">
        <w:t>’</w:t>
      </w:r>
      <w:r w:rsidR="000B728E">
        <w:t xml:space="preserve"> life insurance premium </w:t>
      </w:r>
      <w:r w:rsidR="00FE4A59">
        <w:t>tax policy, we do know that the</w:t>
      </w:r>
      <w:r w:rsidR="00D02F40">
        <w:t xml:space="preserve"> tax</w:t>
      </w:r>
      <w:r w:rsidR="00FE4A59">
        <w:t xml:space="preserve"> rates are generally the same and changes in the rates are often undertaken at the same time for both ind</w:t>
      </w:r>
      <w:r w:rsidR="00D726BD">
        <w:t>u</w:t>
      </w:r>
      <w:r w:rsidR="00FE4A59">
        <w:t>st</w:t>
      </w:r>
      <w:r w:rsidR="00D726BD">
        <w:t>ri</w:t>
      </w:r>
      <w:r w:rsidR="00FE4A59">
        <w:t xml:space="preserve">es. Thus, </w:t>
      </w:r>
      <w:r>
        <w:t xml:space="preserve">we do expect to find a </w:t>
      </w:r>
      <w:r w:rsidR="005B7284">
        <w:t xml:space="preserve">statistically </w:t>
      </w:r>
      <w:r>
        <w:t xml:space="preserve">significant effect of the premium tax rate on agent employment. </w:t>
      </w:r>
      <w:r w:rsidR="005B7284">
        <w:t xml:space="preserve">In the interest of space </w:t>
      </w:r>
      <w:r w:rsidR="00257FEC">
        <w:t xml:space="preserve">Table </w:t>
      </w:r>
      <w:r w:rsidR="00776790">
        <w:t>5</w:t>
      </w:r>
      <w:r w:rsidR="00257FEC">
        <w:t xml:space="preserve"> only </w:t>
      </w:r>
      <w:r w:rsidR="005B7284">
        <w:t>report</w:t>
      </w:r>
      <w:r w:rsidR="00257FEC">
        <w:t>s</w:t>
      </w:r>
      <w:r w:rsidR="005B7284">
        <w:t xml:space="preserve"> the </w:t>
      </w:r>
      <w:r w:rsidR="00DF7C28">
        <w:t xml:space="preserve">coefficients on the two tax variables and </w:t>
      </w:r>
      <w:proofErr w:type="spellStart"/>
      <w:r w:rsidR="005B7284">
        <w:t>elasticities</w:t>
      </w:r>
      <w:proofErr w:type="spellEnd"/>
      <w:r w:rsidR="00DF7C28">
        <w:t xml:space="preserve"> with respect to the foreign tax rate</w:t>
      </w:r>
      <w:r w:rsidR="005A4926">
        <w:t>;</w:t>
      </w:r>
      <w:r w:rsidR="005B7284">
        <w:t xml:space="preserve"> </w:t>
      </w:r>
      <w:r w:rsidR="005A4926">
        <w:t xml:space="preserve">these are </w:t>
      </w:r>
      <w:r w:rsidR="005008CE">
        <w:t xml:space="preserve">2SLS </w:t>
      </w:r>
      <w:r w:rsidR="005B7284">
        <w:t xml:space="preserve">regressions that include the </w:t>
      </w:r>
      <w:r w:rsidR="009072CC">
        <w:t xml:space="preserve">industry and </w:t>
      </w:r>
      <w:r w:rsidR="005B7284">
        <w:t>state control variables; full regression results are available from the authors</w:t>
      </w:r>
      <w:r w:rsidR="005A4926">
        <w:t xml:space="preserve">. </w:t>
      </w:r>
      <w:r w:rsidR="00356B22">
        <w:t xml:space="preserve">The </w:t>
      </w:r>
      <w:r w:rsidR="00965459">
        <w:t xml:space="preserve">coefficients on the </w:t>
      </w:r>
      <w:proofErr w:type="spellStart"/>
      <w:r w:rsidR="00F30432" w:rsidRPr="00075E11">
        <w:rPr>
          <w:i/>
        </w:rPr>
        <w:t>FRate</w:t>
      </w:r>
      <w:proofErr w:type="spellEnd"/>
      <w:r w:rsidR="00965459">
        <w:t xml:space="preserve"> are</w:t>
      </w:r>
      <w:r w:rsidR="00356B22">
        <w:t xml:space="preserve"> negative and statistically significant in all of the regressions</w:t>
      </w:r>
      <w:r w:rsidR="0005467F">
        <w:t>, while t</w:t>
      </w:r>
      <w:r w:rsidR="00356B22">
        <w:t xml:space="preserve">he coefficients on the </w:t>
      </w:r>
      <w:proofErr w:type="spellStart"/>
      <w:r w:rsidR="00C51BB8">
        <w:rPr>
          <w:i/>
        </w:rPr>
        <w:t>DifRate</w:t>
      </w:r>
      <w:proofErr w:type="spellEnd"/>
      <w:r w:rsidR="00356B22">
        <w:t xml:space="preserve"> are positive and</w:t>
      </w:r>
      <w:r w:rsidR="0094205B">
        <w:t xml:space="preserve"> statistically</w:t>
      </w:r>
      <w:r w:rsidR="00356B22">
        <w:t xml:space="preserve"> significant in all </w:t>
      </w:r>
      <w:r w:rsidR="0094205B">
        <w:t>of the</w:t>
      </w:r>
      <w:r w:rsidR="00356B22">
        <w:t xml:space="preserve"> regression</w:t>
      </w:r>
      <w:r w:rsidR="0094205B">
        <w:t>s</w:t>
      </w:r>
      <w:r w:rsidR="009072CC">
        <w:t xml:space="preserve">. </w:t>
      </w:r>
      <w:r w:rsidR="00356B22">
        <w:t xml:space="preserve"> These results provide additional support for the hypothesis that higher insurance premium tax rates are associated with a reduction in the size of the property-casualty industry in a state.  </w:t>
      </w:r>
      <w:r w:rsidR="00D86EDC">
        <w:t>We do note that the elasticity for agents is small</w:t>
      </w:r>
      <w:r w:rsidR="00070425">
        <w:t>er than for the other measures of industry size</w:t>
      </w:r>
      <w:r w:rsidR="00D86EDC">
        <w:t xml:space="preserve">, which is not unexpected given the likelihood that the number of agents is related to </w:t>
      </w:r>
      <w:r w:rsidR="003713DA">
        <w:t xml:space="preserve">state’s </w:t>
      </w:r>
      <w:r w:rsidR="00D86EDC">
        <w:t>market size</w:t>
      </w:r>
      <w:r w:rsidR="003713DA">
        <w:t xml:space="preserve"> and not to the state of domicile of insurance firms</w:t>
      </w:r>
      <w:r w:rsidR="00D86EDC">
        <w:t xml:space="preserve">.  However, the </w:t>
      </w:r>
      <w:proofErr w:type="spellStart"/>
      <w:r w:rsidR="00D86EDC">
        <w:t>elasticities</w:t>
      </w:r>
      <w:proofErr w:type="spellEnd"/>
      <w:r w:rsidR="005A4926">
        <w:t xml:space="preserve"> </w:t>
      </w:r>
      <w:r w:rsidR="00D86EDC">
        <w:t xml:space="preserve">for the other measures of industry size are large. </w:t>
      </w:r>
    </w:p>
    <w:p w:rsidR="005A4926" w:rsidRDefault="005A4926" w:rsidP="005A4926">
      <w:pPr>
        <w:spacing w:line="480" w:lineRule="auto"/>
        <w:ind w:right="1440" w:firstLine="720"/>
        <w:jc w:val="center"/>
      </w:pPr>
      <w:r>
        <w:t>[Insert Table 5 here]</w:t>
      </w:r>
    </w:p>
    <w:p w:rsidR="00782524" w:rsidRPr="0018230A" w:rsidRDefault="00782524" w:rsidP="00782524">
      <w:pPr>
        <w:spacing w:line="480" w:lineRule="auto"/>
        <w:ind w:right="1440" w:firstLine="720"/>
      </w:pPr>
      <w:r>
        <w:t xml:space="preserve">There are a number of possible reasons why our estimated elasticity is greater than those typically reported in other studies.  First, the insurance premium tax generally imposes a larger tax burden than implied by the typical state corporate income tax </w:t>
      </w:r>
      <w:r w:rsidRPr="0018230A">
        <w:t>(</w:t>
      </w:r>
      <w:proofErr w:type="spellStart"/>
      <w:r w:rsidRPr="00F059F4">
        <w:t>Neubig</w:t>
      </w:r>
      <w:proofErr w:type="spellEnd"/>
      <w:r w:rsidRPr="00F059F4">
        <w:t xml:space="preserve"> et al. 2002), and thus insurance companies may be more respons</w:t>
      </w:r>
      <w:r>
        <w:t>ive</w:t>
      </w:r>
      <w:r w:rsidRPr="00F059F4">
        <w:t xml:space="preserve"> to interstate dif</w:t>
      </w:r>
      <w:r>
        <w:t xml:space="preserve">ferences in tax rates. </w:t>
      </w:r>
      <w:r w:rsidRPr="0018230A">
        <w:t xml:space="preserve"> </w:t>
      </w:r>
      <w:r>
        <w:t xml:space="preserve">The structure </w:t>
      </w:r>
      <w:r>
        <w:lastRenderedPageBreak/>
        <w:t>of the tax, that is, that all of the company’s premiums are subject to the higher of the tax rate in the state of domicile or the state in which the premiums are written, makes the decision of where to locate more important in terms of total taxes than for multi-state firms facing state corporate income taxes, for which the firm’s profit is apportioned to the states in which the firm has nexus.  It is also possible that the insurance industry is more mobile than firms in industries such as manufacturing and utilities.   Finally, our measure</w:t>
      </w:r>
      <w:r w:rsidR="00070425">
        <w:t>s</w:t>
      </w:r>
      <w:r>
        <w:t xml:space="preserve"> of the tax rate</w:t>
      </w:r>
      <w:r w:rsidR="00070425">
        <w:t>s are</w:t>
      </w:r>
      <w:r>
        <w:t xml:space="preserve"> likely to be measured with less error than the measures of tax rates used in other studies.  This could possibly lead to larger coefficients than those obtained in other studies, which could suffer from errors-in-variables problems.</w:t>
      </w:r>
    </w:p>
    <w:p w:rsidR="00075BA2" w:rsidRPr="00D02F40" w:rsidRDefault="00075BA2" w:rsidP="00FA418C">
      <w:pPr>
        <w:spacing w:line="480" w:lineRule="auto"/>
        <w:ind w:right="1440" w:firstLine="720"/>
      </w:pPr>
      <w:r>
        <w:t>Of particular interest is the</w:t>
      </w:r>
      <w:r w:rsidR="003713DA">
        <w:t xml:space="preserve"> tax</w:t>
      </w:r>
      <w:r>
        <w:t xml:space="preserve"> elasticity with respect to total premiums, </w:t>
      </w:r>
      <w:r w:rsidR="007813AD" w:rsidRPr="0040446D">
        <w:rPr>
          <w:i/>
        </w:rPr>
        <w:t>Output</w:t>
      </w:r>
      <w:r w:rsidR="00FB2C60">
        <w:t xml:space="preserve">, </w:t>
      </w:r>
      <w:r>
        <w:t xml:space="preserve">which we consider a measure of the total output of the </w:t>
      </w:r>
      <w:r w:rsidR="00BB2392">
        <w:t xml:space="preserve">state’s insurance </w:t>
      </w:r>
      <w:r>
        <w:t>industry.  The reported elasticity of -</w:t>
      </w:r>
      <w:r w:rsidR="00070425">
        <w:t>3.74</w:t>
      </w:r>
      <w:r>
        <w:t xml:space="preserve"> is </w:t>
      </w:r>
      <w:r w:rsidR="00070425">
        <w:t>much larger</w:t>
      </w:r>
      <w:r>
        <w:t xml:space="preserve"> than the elasticity with respect to employment</w:t>
      </w:r>
      <w:r w:rsidR="00776790">
        <w:t xml:space="preserve"> (column 2 of Table 4)</w:t>
      </w:r>
      <w:r>
        <w:t xml:space="preserve">.    </w:t>
      </w:r>
      <w:r w:rsidR="0099214B">
        <w:t xml:space="preserve">The implication of the </w:t>
      </w:r>
      <w:r w:rsidR="00F4783A">
        <w:t>e</w:t>
      </w:r>
      <w:r w:rsidR="00776790">
        <w:t xml:space="preserve">stimated </w:t>
      </w:r>
      <w:proofErr w:type="spellStart"/>
      <w:r w:rsidR="00776790">
        <w:t>e</w:t>
      </w:r>
      <w:r w:rsidR="00F4783A">
        <w:t>lasticities</w:t>
      </w:r>
      <w:proofErr w:type="spellEnd"/>
      <w:r w:rsidR="00F4783A">
        <w:t xml:space="preserve"> </w:t>
      </w:r>
      <w:r w:rsidR="0099214B">
        <w:t>is that there are</w:t>
      </w:r>
      <w:r w:rsidR="00F4783A">
        <w:t xml:space="preserve"> economies of scale</w:t>
      </w:r>
      <w:r w:rsidR="00B9271F">
        <w:t>; see Cummins and W</w:t>
      </w:r>
      <w:r w:rsidR="001170DE">
        <w:t>eiss</w:t>
      </w:r>
      <w:r w:rsidR="00B9271F">
        <w:t xml:space="preserve"> (2001)</w:t>
      </w:r>
      <w:r w:rsidR="001170DE">
        <w:t xml:space="preserve"> for other evidence of economies of scale in the insurance industry</w:t>
      </w:r>
      <w:r w:rsidR="00FE219A">
        <w:t>.</w:t>
      </w:r>
      <w:r w:rsidR="00F4783A">
        <w:t xml:space="preserve"> </w:t>
      </w:r>
      <w:r w:rsidR="005F1CE0">
        <w:t xml:space="preserve"> As noted above, two possible concerns with using employment to measure industry size is that</w:t>
      </w:r>
      <w:r w:rsidR="003F3B8C">
        <w:t xml:space="preserve"> insurance firms could be domiciled in one state but their employment could be in another state, and that </w:t>
      </w:r>
      <w:proofErr w:type="spellStart"/>
      <w:r w:rsidR="003F3B8C" w:rsidRPr="00B75C99">
        <w:rPr>
          <w:i/>
        </w:rPr>
        <w:t>Emp</w:t>
      </w:r>
      <w:proofErr w:type="spellEnd"/>
      <w:r w:rsidR="003F3B8C">
        <w:t xml:space="preserve"> includes employment in district offices.  </w:t>
      </w:r>
      <w:r w:rsidR="003F3B8C" w:rsidRPr="00B75C99">
        <w:rPr>
          <w:i/>
        </w:rPr>
        <w:t>Output</w:t>
      </w:r>
      <w:r w:rsidR="003F3B8C">
        <w:t xml:space="preserve"> does not suffer from these two possibilities, and thus the large negative tax rate elasticity for </w:t>
      </w:r>
      <w:r w:rsidR="003F3B8C" w:rsidRPr="00B75C99">
        <w:rPr>
          <w:i/>
        </w:rPr>
        <w:t>Output</w:t>
      </w:r>
      <w:r w:rsidR="003F3B8C">
        <w:t xml:space="preserve"> provides support for the elasticity estimates </w:t>
      </w:r>
      <w:r w:rsidR="00EB63D6">
        <w:t>based on</w:t>
      </w:r>
      <w:r w:rsidR="003F3B8C">
        <w:t xml:space="preserve"> </w:t>
      </w:r>
      <w:r w:rsidR="003F3B8C" w:rsidRPr="00B75C99">
        <w:rPr>
          <w:i/>
        </w:rPr>
        <w:t>Emp</w:t>
      </w:r>
      <w:r w:rsidR="003F3B8C">
        <w:t>.</w:t>
      </w:r>
      <w:r w:rsidR="00D02F40">
        <w:t xml:space="preserve">  </w:t>
      </w:r>
      <w:proofErr w:type="gramStart"/>
      <w:r w:rsidR="00D02F40" w:rsidRPr="008934BE">
        <w:rPr>
          <w:i/>
        </w:rPr>
        <w:t>Exports</w:t>
      </w:r>
      <w:r w:rsidR="00D02F40">
        <w:t xml:space="preserve"> has</w:t>
      </w:r>
      <w:proofErr w:type="gramEnd"/>
      <w:r w:rsidR="00D02F40">
        <w:t xml:space="preserve"> the advantage that it should not depend on the size of the market in the state of domicile. </w:t>
      </w:r>
    </w:p>
    <w:p w:rsidR="008E113C" w:rsidRDefault="008E113C" w:rsidP="00FA418C">
      <w:pPr>
        <w:spacing w:line="480" w:lineRule="auto"/>
        <w:ind w:right="1440" w:firstLine="720"/>
      </w:pPr>
      <w:r w:rsidRPr="00202162">
        <w:t xml:space="preserve">One interesting </w:t>
      </w:r>
      <w:r>
        <w:t>observation</w:t>
      </w:r>
      <w:r w:rsidRPr="00202162">
        <w:t xml:space="preserve"> is that states had historically believed that they could </w:t>
      </w:r>
      <w:r w:rsidR="00D96DDC">
        <w:t>protect their domestic companies from foreign competition</w:t>
      </w:r>
      <w:r w:rsidRPr="00202162">
        <w:t xml:space="preserve"> by having a high </w:t>
      </w:r>
      <w:r>
        <w:t xml:space="preserve">foreign </w:t>
      </w:r>
      <w:r w:rsidRPr="00202162">
        <w:t xml:space="preserve">tax rate.  This was </w:t>
      </w:r>
      <w:r>
        <w:t xml:space="preserve">likely </w:t>
      </w:r>
      <w:r w:rsidRPr="00202162">
        <w:t>the real rationale in setting a discriminatory tax on foreign insurers.</w:t>
      </w:r>
      <w:r>
        <w:t xml:space="preserve"> </w:t>
      </w:r>
      <w:r w:rsidR="00803F36">
        <w:t xml:space="preserve"> However, the results in column 1 of Table 5 provide some evidence that the discriminatory policy was counter </w:t>
      </w:r>
      <w:r w:rsidR="00803F36">
        <w:lastRenderedPageBreak/>
        <w:t>effective given the</w:t>
      </w:r>
      <w:r>
        <w:t xml:space="preserve"> negative relationship between the share of employment in a state and the foreign tax rate.  </w:t>
      </w:r>
    </w:p>
    <w:p w:rsidR="0053548C" w:rsidRDefault="0053548C" w:rsidP="00FA418C">
      <w:pPr>
        <w:spacing w:line="480" w:lineRule="auto"/>
        <w:ind w:right="1440" w:firstLine="720"/>
      </w:pPr>
    </w:p>
    <w:p w:rsidR="0053548C" w:rsidRPr="0040446D" w:rsidRDefault="007813AD" w:rsidP="00FA418C">
      <w:pPr>
        <w:spacing w:line="480" w:lineRule="auto"/>
        <w:ind w:right="1440" w:firstLine="720"/>
        <w:rPr>
          <w:i/>
        </w:rPr>
      </w:pPr>
      <w:r w:rsidRPr="0040446D">
        <w:rPr>
          <w:i/>
        </w:rPr>
        <w:t>Controlling for Size of the State</w:t>
      </w:r>
    </w:p>
    <w:p w:rsidR="00C92306" w:rsidRDefault="006B4D8F" w:rsidP="00FA418C">
      <w:pPr>
        <w:spacing w:line="480" w:lineRule="auto"/>
        <w:ind w:right="1440" w:firstLine="720"/>
      </w:pPr>
      <w:r>
        <w:t xml:space="preserve">The regressions </w:t>
      </w:r>
      <w:r w:rsidR="00C2475C">
        <w:t xml:space="preserve">reported above </w:t>
      </w:r>
      <w:r>
        <w:t xml:space="preserve">follow the common practice of prior research in that the dependent variable is measured in levels and there is no control variable that reflects the size of the state.  </w:t>
      </w:r>
      <w:r w:rsidR="00C92306">
        <w:t xml:space="preserve">The size of the state measures the size of its market, </w:t>
      </w:r>
      <w:r w:rsidR="00A22C1A">
        <w:t xml:space="preserve">but given that only 6 percent of premiums are written by firms </w:t>
      </w:r>
      <w:r w:rsidR="00BB2392">
        <w:t xml:space="preserve">that are </w:t>
      </w:r>
      <w:r w:rsidR="00A22C1A">
        <w:t xml:space="preserve">located in 10 or fewer states, </w:t>
      </w:r>
      <w:r w:rsidR="00C92306">
        <w:t>local market size should not be a</w:t>
      </w:r>
      <w:r w:rsidR="003F3B8C">
        <w:t xml:space="preserve"> significant</w:t>
      </w:r>
      <w:r w:rsidR="00C92306">
        <w:t xml:space="preserve"> ca</w:t>
      </w:r>
      <w:r w:rsidR="00BB2392">
        <w:t>u</w:t>
      </w:r>
      <w:r w:rsidR="00C92306">
        <w:t xml:space="preserve">sal factor in determining the state’s insurance industry employment.  </w:t>
      </w:r>
      <w:r w:rsidR="00A22C1A">
        <w:t xml:space="preserve">However, </w:t>
      </w:r>
      <w:r w:rsidR="00C92306">
        <w:t>it is possible that insurance firms have a preference for locating in larger states in order to have access to a larger labor pool</w:t>
      </w:r>
      <w:r w:rsidR="00FB2C60">
        <w:t xml:space="preserve"> or certain amenities</w:t>
      </w:r>
      <w:r w:rsidR="00C92306">
        <w:t xml:space="preserve">, or </w:t>
      </w:r>
      <w:r w:rsidR="00A22C1A">
        <w:t xml:space="preserve">in </w:t>
      </w:r>
      <w:r w:rsidR="00C92306">
        <w:t>smaller states in order to have greater influence on premium tax rates</w:t>
      </w:r>
      <w:r w:rsidR="00FB2C60">
        <w:t xml:space="preserve"> and access to a different set of amenities</w:t>
      </w:r>
      <w:r w:rsidR="00C92306">
        <w:t xml:space="preserve">.  Given these possibilities we estimated models equivalent to that in column </w:t>
      </w:r>
      <w:r w:rsidR="005A4926">
        <w:t>1</w:t>
      </w:r>
      <w:r w:rsidR="00C92306">
        <w:t xml:space="preserve"> of Table 4 but include </w:t>
      </w:r>
      <w:r>
        <w:t xml:space="preserve">state population (in millions), denoted </w:t>
      </w:r>
      <w:r w:rsidRPr="00075E11">
        <w:rPr>
          <w:i/>
        </w:rPr>
        <w:t>Pop</w:t>
      </w:r>
      <w:r w:rsidR="00C92306">
        <w:t xml:space="preserve"> (Table </w:t>
      </w:r>
      <w:r w:rsidR="007D0D87">
        <w:t>6</w:t>
      </w:r>
      <w:r w:rsidR="00C92306">
        <w:t xml:space="preserve">). </w:t>
      </w:r>
      <w:r w:rsidR="00776790">
        <w:t xml:space="preserve"> </w:t>
      </w:r>
    </w:p>
    <w:p w:rsidR="001D6D42" w:rsidRDefault="007D0D87" w:rsidP="0040446D">
      <w:pPr>
        <w:spacing w:line="480" w:lineRule="auto"/>
        <w:ind w:right="1440" w:firstLine="720"/>
        <w:jc w:val="center"/>
      </w:pPr>
      <w:r>
        <w:t>[Insert Table 6 here]</w:t>
      </w:r>
    </w:p>
    <w:p w:rsidR="006B4D8F" w:rsidRDefault="006B4D8F" w:rsidP="00FA418C">
      <w:pPr>
        <w:spacing w:line="480" w:lineRule="auto"/>
        <w:ind w:right="1440" w:firstLine="720"/>
      </w:pPr>
      <w:r>
        <w:t xml:space="preserve">The coefficient on </w:t>
      </w:r>
      <w:r w:rsidRPr="00075E11">
        <w:rPr>
          <w:i/>
        </w:rPr>
        <w:t>Pop</w:t>
      </w:r>
      <w:r>
        <w:t xml:space="preserve"> is positive</w:t>
      </w:r>
      <w:r w:rsidR="007C6860">
        <w:t xml:space="preserve"> and significant</w:t>
      </w:r>
      <w:r w:rsidR="005A4926">
        <w:t xml:space="preserve">. </w:t>
      </w:r>
      <w:r>
        <w:t>The effect of adding population is to reduce the size of the coefficient on the foreign tax rate</w:t>
      </w:r>
      <w:r w:rsidR="00FB2C60">
        <w:t xml:space="preserve"> as compared to Table 4</w:t>
      </w:r>
      <w:r>
        <w:t xml:space="preserve">, but it remains negative and statistically significant.  The coefficient on </w:t>
      </w:r>
      <w:proofErr w:type="spellStart"/>
      <w:r>
        <w:rPr>
          <w:i/>
        </w:rPr>
        <w:t>DifRate</w:t>
      </w:r>
      <w:proofErr w:type="spellEnd"/>
      <w:r w:rsidRPr="00075E11">
        <w:rPr>
          <w:i/>
        </w:rPr>
        <w:t xml:space="preserve"> </w:t>
      </w:r>
      <w:r>
        <w:t xml:space="preserve">is still positive and statistically significant.  </w:t>
      </w:r>
      <w:r w:rsidR="007D0D87">
        <w:t xml:space="preserve">The elasticity between </w:t>
      </w:r>
      <w:proofErr w:type="spellStart"/>
      <w:proofErr w:type="gramStart"/>
      <w:r w:rsidR="007D0D87" w:rsidRPr="00F42913">
        <w:rPr>
          <w:i/>
        </w:rPr>
        <w:t>Emp</w:t>
      </w:r>
      <w:proofErr w:type="spellEnd"/>
      <w:proofErr w:type="gramEnd"/>
      <w:r w:rsidR="007D0D87">
        <w:t xml:space="preserve"> and </w:t>
      </w:r>
      <w:proofErr w:type="spellStart"/>
      <w:r w:rsidR="007D0D87" w:rsidRPr="00F42913">
        <w:rPr>
          <w:i/>
        </w:rPr>
        <w:t>FRate</w:t>
      </w:r>
      <w:proofErr w:type="spellEnd"/>
      <w:r w:rsidR="007D0D87">
        <w:t xml:space="preserve"> is -</w:t>
      </w:r>
      <w:r w:rsidR="00E72907">
        <w:t>0.</w:t>
      </w:r>
      <w:r w:rsidR="005A4926">
        <w:t>845</w:t>
      </w:r>
      <w:r w:rsidR="007D0D87">
        <w:t xml:space="preserve">, which is smaller than reported in </w:t>
      </w:r>
      <w:r w:rsidR="00E72907">
        <w:t xml:space="preserve">column </w:t>
      </w:r>
      <w:r w:rsidR="005A4926">
        <w:t>1</w:t>
      </w:r>
      <w:r w:rsidR="00E72907">
        <w:t xml:space="preserve"> of </w:t>
      </w:r>
      <w:r w:rsidR="007D0D87">
        <w:t xml:space="preserve">Table 4, but still large.  </w:t>
      </w:r>
      <w:r w:rsidR="00E72907">
        <w:t xml:space="preserve">Including </w:t>
      </w:r>
      <w:r w:rsidR="00E72907" w:rsidRPr="008934BE">
        <w:rPr>
          <w:i/>
        </w:rPr>
        <w:t>Pop</w:t>
      </w:r>
      <w:r w:rsidR="00E72907">
        <w:t xml:space="preserve"> </w:t>
      </w:r>
      <w:r w:rsidR="005A4926">
        <w:t xml:space="preserve">does </w:t>
      </w:r>
      <w:r w:rsidR="00E72907">
        <w:t>change the</w:t>
      </w:r>
      <w:r w:rsidR="005A4926">
        <w:t xml:space="preserve"> magnitude, sign,</w:t>
      </w:r>
      <w:r w:rsidR="00E72907">
        <w:t xml:space="preserve"> and statistical significant level of several </w:t>
      </w:r>
      <w:r w:rsidR="005A4926">
        <w:t xml:space="preserve">control </w:t>
      </w:r>
      <w:r w:rsidR="00E72907">
        <w:t xml:space="preserve">variables.  </w:t>
      </w:r>
    </w:p>
    <w:p w:rsidR="006B4D8F" w:rsidRDefault="006B4D8F" w:rsidP="00FA418C">
      <w:pPr>
        <w:spacing w:line="480" w:lineRule="auto"/>
        <w:ind w:right="1440" w:firstLine="720"/>
      </w:pPr>
      <w:r>
        <w:t xml:space="preserve">We also ran regressions equivalent to those reported in </w:t>
      </w:r>
      <w:r w:rsidR="007D0D87">
        <w:t>Table 4 but for</w:t>
      </w:r>
      <w:r>
        <w:t xml:space="preserve"> which the dependent variable was employment per capita</w:t>
      </w:r>
      <w:r w:rsidR="002D3324">
        <w:t>.</w:t>
      </w:r>
      <w:r>
        <w:t xml:space="preserve"> The results of this regression (which are not </w:t>
      </w:r>
      <w:r>
        <w:lastRenderedPageBreak/>
        <w:t xml:space="preserve">reported here) are consistent with the regression presented in Table </w:t>
      </w:r>
      <w:r w:rsidR="003D3A6C">
        <w:t>4</w:t>
      </w:r>
      <w:r w:rsidR="007C6860">
        <w:t xml:space="preserve"> and yield an elasticity estimate of </w:t>
      </w:r>
      <w:r w:rsidR="005A4926">
        <w:t>-0</w:t>
      </w:r>
      <w:r w:rsidR="007C6860">
        <w:t>.941</w:t>
      </w:r>
      <w:r>
        <w:t xml:space="preserve">.  </w:t>
      </w:r>
    </w:p>
    <w:p w:rsidR="00A91738" w:rsidRDefault="00A91738" w:rsidP="00FA418C">
      <w:pPr>
        <w:spacing w:line="480" w:lineRule="auto"/>
        <w:ind w:right="1440" w:firstLine="720"/>
      </w:pPr>
    </w:p>
    <w:p w:rsidR="005008CE" w:rsidRPr="00104CEF" w:rsidRDefault="005008CE" w:rsidP="00C0293B">
      <w:pPr>
        <w:spacing w:line="480" w:lineRule="auto"/>
        <w:ind w:left="720" w:right="1440"/>
        <w:rPr>
          <w:i/>
        </w:rPr>
      </w:pPr>
      <w:r w:rsidRPr="00104CEF">
        <w:rPr>
          <w:i/>
        </w:rPr>
        <w:t xml:space="preserve">State </w:t>
      </w:r>
      <w:r w:rsidR="00F6649D">
        <w:rPr>
          <w:i/>
        </w:rPr>
        <w:t>Fixed Effect</w:t>
      </w:r>
      <w:r w:rsidRPr="00104CEF">
        <w:rPr>
          <w:i/>
        </w:rPr>
        <w:t>s</w:t>
      </w:r>
    </w:p>
    <w:p w:rsidR="005A4BB5" w:rsidRDefault="005008CE" w:rsidP="00FA418C">
      <w:pPr>
        <w:spacing w:line="480" w:lineRule="auto"/>
        <w:ind w:right="1440" w:firstLine="720"/>
      </w:pPr>
      <w:r>
        <w:t>Since we have a panel data set, it would seem natural that we would include state fixed effects</w:t>
      </w:r>
      <w:r w:rsidR="00F6649D">
        <w:t>,</w:t>
      </w:r>
      <w:r>
        <w:t xml:space="preserve"> as well as year </w:t>
      </w:r>
      <w:r w:rsidR="00F6649D">
        <w:t xml:space="preserve">dummies, since unobserved state </w:t>
      </w:r>
      <w:r w:rsidR="003D3A6C">
        <w:t xml:space="preserve">characteristics </w:t>
      </w:r>
      <w:r w:rsidR="00F6649D">
        <w:t>could be correlated with the explanatory variables</w:t>
      </w:r>
      <w:r>
        <w:t xml:space="preserve">. </w:t>
      </w:r>
      <w:r w:rsidR="00F6649D">
        <w:t xml:space="preserve"> </w:t>
      </w:r>
      <w:r w:rsidR="00F331E4">
        <w:t xml:space="preserve">Thus, we </w:t>
      </w:r>
      <w:r w:rsidR="00BB2392">
        <w:t>estimate</w:t>
      </w:r>
      <w:r w:rsidR="00F331E4">
        <w:t xml:space="preserve"> </w:t>
      </w:r>
      <w:r w:rsidR="00C0293B">
        <w:t xml:space="preserve">such </w:t>
      </w:r>
      <w:r w:rsidR="00F331E4">
        <w:t xml:space="preserve">a fixed effects model, the results of which are presented in Table 7.  </w:t>
      </w:r>
      <w:r>
        <w:t xml:space="preserve">In this model, the coefficient on </w:t>
      </w:r>
      <w:proofErr w:type="spellStart"/>
      <w:r w:rsidRPr="00104CEF">
        <w:rPr>
          <w:i/>
        </w:rPr>
        <w:t>F</w:t>
      </w:r>
      <w:r w:rsidR="003F3B8C">
        <w:rPr>
          <w:i/>
        </w:rPr>
        <w:t>R</w:t>
      </w:r>
      <w:r w:rsidRPr="00104CEF">
        <w:rPr>
          <w:i/>
        </w:rPr>
        <w:t>ate</w:t>
      </w:r>
      <w:proofErr w:type="spellEnd"/>
      <w:r>
        <w:t xml:space="preserve"> is positive and statistically insignificant, </w:t>
      </w:r>
      <w:r w:rsidR="00E72907">
        <w:t xml:space="preserve">while </w:t>
      </w:r>
      <w:r>
        <w:t xml:space="preserve">the coefficient on </w:t>
      </w:r>
      <w:proofErr w:type="spellStart"/>
      <w:r w:rsidRPr="00104CEF">
        <w:rPr>
          <w:i/>
        </w:rPr>
        <w:t>DifRate</w:t>
      </w:r>
      <w:proofErr w:type="spellEnd"/>
      <w:r w:rsidR="00E72907">
        <w:t xml:space="preserve"> is still negative, but is statistically insignificant.</w:t>
      </w:r>
      <w:r>
        <w:t xml:space="preserve"> </w:t>
      </w:r>
    </w:p>
    <w:p w:rsidR="001D6D42" w:rsidRDefault="005A4BB5" w:rsidP="0040446D">
      <w:pPr>
        <w:spacing w:line="480" w:lineRule="auto"/>
        <w:ind w:right="1440" w:firstLine="720"/>
        <w:jc w:val="center"/>
      </w:pPr>
      <w:r>
        <w:t>[Insert Table 7 here]</w:t>
      </w:r>
    </w:p>
    <w:p w:rsidR="00BB05A0" w:rsidRDefault="005008CE" w:rsidP="00BB05A0">
      <w:pPr>
        <w:spacing w:line="480" w:lineRule="auto"/>
        <w:ind w:right="1440" w:firstLine="720"/>
      </w:pPr>
      <w:r>
        <w:t>We believe th</w:t>
      </w:r>
      <w:r w:rsidR="00BB2392">
        <w:t>ese</w:t>
      </w:r>
      <w:r>
        <w:t xml:space="preserve"> result</w:t>
      </w:r>
      <w:r w:rsidR="00BB2392">
        <w:t>s</w:t>
      </w:r>
      <w:r>
        <w:t xml:space="preserve"> </w:t>
      </w:r>
      <w:r w:rsidR="008063C6">
        <w:t>are</w:t>
      </w:r>
      <w:r>
        <w:t xml:space="preserve"> driven by the </w:t>
      </w:r>
      <w:r w:rsidR="0011237B">
        <w:t>low within</w:t>
      </w:r>
      <w:r w:rsidR="002E352F">
        <w:t xml:space="preserve">-state </w:t>
      </w:r>
      <w:r w:rsidR="0011237B">
        <w:t xml:space="preserve">variation in </w:t>
      </w:r>
      <w:r>
        <w:t>the premium tax rates</w:t>
      </w:r>
      <w:r w:rsidR="0011237B">
        <w:t>.  While the foreign tax rates (</w:t>
      </w:r>
      <w:proofErr w:type="spellStart"/>
      <w:r w:rsidR="007813AD" w:rsidRPr="0040446D">
        <w:rPr>
          <w:i/>
        </w:rPr>
        <w:t>FRate</w:t>
      </w:r>
      <w:proofErr w:type="spellEnd"/>
      <w:r w:rsidR="007813AD" w:rsidRPr="0040446D">
        <w:t>)</w:t>
      </w:r>
      <w:r w:rsidR="0011237B">
        <w:rPr>
          <w:i/>
        </w:rPr>
        <w:t xml:space="preserve"> </w:t>
      </w:r>
      <w:r w:rsidR="0011237B">
        <w:t>are not constant, the changes in the rate</w:t>
      </w:r>
      <w:r w:rsidR="005A4926">
        <w:t>s</w:t>
      </w:r>
      <w:r w:rsidR="0011237B">
        <w:t xml:space="preserve"> are small and </w:t>
      </w:r>
      <w:r w:rsidR="00E72907">
        <w:t>infrequent.  Over the 15 year period, only 11 states changed their foreign tax rate</w:t>
      </w:r>
      <w:r w:rsidR="005A4926">
        <w:t>;</w:t>
      </w:r>
      <w:r w:rsidR="00E72907">
        <w:t xml:space="preserve"> four of those</w:t>
      </w:r>
      <w:r w:rsidR="005A4926">
        <w:t xml:space="preserve"> states</w:t>
      </w:r>
      <w:r w:rsidR="00E72907">
        <w:t xml:space="preserve"> changed </w:t>
      </w:r>
      <w:r w:rsidR="005A4926">
        <w:t>their rate</w:t>
      </w:r>
      <w:r w:rsidR="00E72907">
        <w:t xml:space="preserve"> once while most of the other</w:t>
      </w:r>
      <w:r w:rsidR="007C6860">
        <w:t>s</w:t>
      </w:r>
      <w:r w:rsidR="00E72907">
        <w:t xml:space="preserve"> phased in a change over 3 years.  </w:t>
      </w:r>
      <w:r w:rsidR="0011237B">
        <w:t xml:space="preserve">This is seen by the small variance in the difference between the states’ minimum and maximum foreign tax rates over the period of </w:t>
      </w:r>
      <w:r w:rsidR="00EA1D08">
        <w:t>0</w:t>
      </w:r>
      <w:r w:rsidR="007C6860" w:rsidRPr="007C6860">
        <w:t>.0002</w:t>
      </w:r>
      <w:r w:rsidR="0011237B">
        <w:t>, and the rather large</w:t>
      </w:r>
      <w:r w:rsidR="00250709">
        <w:t xml:space="preserve"> </w:t>
      </w:r>
      <w:r w:rsidR="003D3A6C">
        <w:t xml:space="preserve">correlation of </w:t>
      </w:r>
      <w:r w:rsidR="00250709">
        <w:t>0.</w:t>
      </w:r>
      <w:r w:rsidR="003D3A6C">
        <w:t>8</w:t>
      </w:r>
      <w:r w:rsidR="00DF37D8">
        <w:t>4</w:t>
      </w:r>
      <w:r w:rsidR="0011237B">
        <w:t xml:space="preserve"> between the states’ minimum and maximum </w:t>
      </w:r>
      <w:proofErr w:type="spellStart"/>
      <w:r w:rsidR="0011237B" w:rsidRPr="000D2911">
        <w:rPr>
          <w:i/>
        </w:rPr>
        <w:t>FRate</w:t>
      </w:r>
      <w:proofErr w:type="spellEnd"/>
      <w:r w:rsidR="0011237B">
        <w:t xml:space="preserve">. </w:t>
      </w:r>
      <w:r w:rsidR="00250709">
        <w:t>The result is that</w:t>
      </w:r>
      <w:r>
        <w:t xml:space="preserve"> state </w:t>
      </w:r>
      <w:r w:rsidR="00F6649D">
        <w:t>dummies</w:t>
      </w:r>
      <w:r>
        <w:t xml:space="preserve"> are highly collinear with the tax rate</w:t>
      </w:r>
      <w:r w:rsidR="00250709">
        <w:t xml:space="preserve">, so that the results in Table 7 are subject to </w:t>
      </w:r>
      <w:proofErr w:type="spellStart"/>
      <w:r w:rsidR="00250709">
        <w:t>multicollinearity</w:t>
      </w:r>
      <w:proofErr w:type="spellEnd"/>
      <w:r>
        <w:t>.</w:t>
      </w:r>
      <w:r>
        <w:rPr>
          <w:rStyle w:val="FootnoteReference"/>
        </w:rPr>
        <w:footnoteReference w:id="21"/>
      </w:r>
      <w:r>
        <w:t xml:space="preserve">  </w:t>
      </w:r>
      <w:r w:rsidR="0011237B">
        <w:t>As is well known, w</w:t>
      </w:r>
      <w:r w:rsidR="00F6649D">
        <w:t xml:space="preserve">hen the key explanatory variable is </w:t>
      </w:r>
      <w:r w:rsidR="00F331E4">
        <w:t xml:space="preserve">essentially </w:t>
      </w:r>
      <w:r w:rsidR="00F6649D">
        <w:t>constant</w:t>
      </w:r>
      <w:r w:rsidR="0011237B">
        <w:t xml:space="preserve"> or rarely changing</w:t>
      </w:r>
      <w:r w:rsidR="00250709">
        <w:t>,</w:t>
      </w:r>
      <w:r w:rsidR="00F6649D">
        <w:t xml:space="preserve"> </w:t>
      </w:r>
      <w:r w:rsidR="0011237B">
        <w:t xml:space="preserve">a </w:t>
      </w:r>
      <w:r w:rsidR="00F6649D">
        <w:t>fixed effect</w:t>
      </w:r>
      <w:r w:rsidR="00F75AD1">
        <w:t>s</w:t>
      </w:r>
      <w:r w:rsidR="0011237B">
        <w:t xml:space="preserve"> model</w:t>
      </w:r>
      <w:r w:rsidR="00F6649D">
        <w:t xml:space="preserve"> cannot be used</w:t>
      </w:r>
      <w:r w:rsidR="00F6649D" w:rsidRPr="00F6649D">
        <w:t xml:space="preserve"> </w:t>
      </w:r>
      <w:r w:rsidR="00F6649D">
        <w:t>(Wooldridge 200</w:t>
      </w:r>
      <w:r w:rsidR="00F331E4">
        <w:t>2</w:t>
      </w:r>
      <w:r w:rsidR="00F6649D">
        <w:t xml:space="preserve">).  </w:t>
      </w:r>
      <w:r w:rsidR="00BB05A0" w:rsidRPr="00F75AD1">
        <w:t xml:space="preserve">This is not an uncommon issue; see the </w:t>
      </w:r>
      <w:r w:rsidR="00BB05A0">
        <w:t>papers in the “</w:t>
      </w:r>
      <w:r w:rsidR="00BB05A0" w:rsidRPr="00F75AD1">
        <w:t>Symposium on Fixed-Effects Vector Decomposition</w:t>
      </w:r>
      <w:r w:rsidR="00BB05A0">
        <w:t xml:space="preserve">” in the Spring 2011 issue of </w:t>
      </w:r>
      <w:r w:rsidR="00BB05A0" w:rsidRPr="004B5F1D">
        <w:rPr>
          <w:i/>
        </w:rPr>
        <w:t>Political Analysis</w:t>
      </w:r>
      <w:r w:rsidR="00BB05A0">
        <w:t xml:space="preserve"> and the citation</w:t>
      </w:r>
      <w:r w:rsidR="003F3B8C">
        <w:t>s</w:t>
      </w:r>
      <w:r w:rsidR="00BB05A0">
        <w:t xml:space="preserve"> in </w:t>
      </w:r>
      <w:proofErr w:type="spellStart"/>
      <w:r w:rsidR="00BB05A0">
        <w:t>Plümper</w:t>
      </w:r>
      <w:proofErr w:type="spellEnd"/>
      <w:r w:rsidR="00BB05A0">
        <w:t xml:space="preserve"> and </w:t>
      </w:r>
      <w:proofErr w:type="spellStart"/>
      <w:r w:rsidR="00BB05A0">
        <w:t>Troeger</w:t>
      </w:r>
      <w:proofErr w:type="spellEnd"/>
      <w:r w:rsidR="00BB05A0">
        <w:t xml:space="preserve"> (2007).  This is not an issue for most other papers that explore the relationship between taxes and the level of economic activity because </w:t>
      </w:r>
      <w:r w:rsidR="005D4874">
        <w:t xml:space="preserve">of how </w:t>
      </w:r>
      <w:r w:rsidR="00BB2392">
        <w:t xml:space="preserve">tax rates are </w:t>
      </w:r>
      <w:r w:rsidR="00BB2392">
        <w:lastRenderedPageBreak/>
        <w:t xml:space="preserve">measured in </w:t>
      </w:r>
      <w:r w:rsidR="00BB05A0">
        <w:t>those papers</w:t>
      </w:r>
      <w:r w:rsidR="005D4874">
        <w:t>, for example, by</w:t>
      </w:r>
      <w:r w:rsidR="00BB05A0">
        <w:t xml:space="preserve"> using the ratio of tax</w:t>
      </w:r>
      <w:r w:rsidR="005D4874">
        <w:t xml:space="preserve"> revenue to state gross domestic product.  While the nominal tax rate could be constant over time, measuring the tax rate by the ratio of tax revenue to GDP introduces variation into the tax rate</w:t>
      </w:r>
      <w:r w:rsidR="008063C6">
        <w:t xml:space="preserve"> variable</w:t>
      </w:r>
      <w:r w:rsidR="005D4874">
        <w:t>.</w:t>
      </w:r>
    </w:p>
    <w:p w:rsidR="00F75AD1" w:rsidRDefault="003D3A6C" w:rsidP="00FA418C">
      <w:pPr>
        <w:spacing w:line="480" w:lineRule="auto"/>
        <w:ind w:right="1440" w:firstLine="720"/>
      </w:pPr>
      <w:r>
        <w:t>When there are time invariant or slowly changing independent variables it is sometimes</w:t>
      </w:r>
      <w:r w:rsidR="00F75AD1">
        <w:t xml:space="preserve"> suggested that a random effects model be estimated</w:t>
      </w:r>
      <w:r>
        <w:t>; see, for example, Wooldridge (2009, 493)</w:t>
      </w:r>
      <w:r w:rsidR="00F75AD1">
        <w:t xml:space="preserve">.  </w:t>
      </w:r>
      <w:r w:rsidR="00EA16BD">
        <w:t>However,</w:t>
      </w:r>
      <w:r w:rsidR="00F75AD1">
        <w:t xml:space="preserve"> a random effects model is appropriate only if the common effects are uncorrelated with the </w:t>
      </w:r>
      <w:proofErr w:type="spellStart"/>
      <w:r w:rsidR="00F75AD1">
        <w:t>regressor</w:t>
      </w:r>
      <w:proofErr w:type="spellEnd"/>
      <w:r w:rsidR="00F75AD1">
        <w:t xml:space="preserve">, an assumption that Greene (2011) suggests is “rarely palatable.”  </w:t>
      </w:r>
      <w:r>
        <w:t xml:space="preserve">We conducted a </w:t>
      </w:r>
      <w:proofErr w:type="spellStart"/>
      <w:r>
        <w:t>Hausman</w:t>
      </w:r>
      <w:proofErr w:type="spellEnd"/>
      <w:r>
        <w:t xml:space="preserve"> test for the use of fixed effects versus random effects and it rejects the assumptions underlying the random effects model at the 0.01 level.  </w:t>
      </w:r>
      <w:r w:rsidR="00F331E4">
        <w:t xml:space="preserve">Despite </w:t>
      </w:r>
      <w:r>
        <w:t>this</w:t>
      </w:r>
      <w:r w:rsidR="00F331E4">
        <w:t xml:space="preserve">, we </w:t>
      </w:r>
      <w:r w:rsidR="00F75AD1">
        <w:t xml:space="preserve">did </w:t>
      </w:r>
      <w:r w:rsidR="00F331E4">
        <w:t>estimate</w:t>
      </w:r>
      <w:r w:rsidR="00F6649D">
        <w:t xml:space="preserve"> a random effects model</w:t>
      </w:r>
      <w:r w:rsidR="00F331E4">
        <w:t xml:space="preserve">; the </w:t>
      </w:r>
      <w:r w:rsidR="00E4797E">
        <w:t xml:space="preserve">results </w:t>
      </w:r>
      <w:r w:rsidR="00F331E4">
        <w:t xml:space="preserve">are </w:t>
      </w:r>
      <w:r w:rsidR="00F46C74">
        <w:t xml:space="preserve">essentially </w:t>
      </w:r>
      <w:r w:rsidR="00F6649D">
        <w:t>equivalent</w:t>
      </w:r>
      <w:r w:rsidR="00E4797E">
        <w:t xml:space="preserve"> to those in Table 7</w:t>
      </w:r>
      <w:r w:rsidR="00F46C74">
        <w:t>, and therefore are not reported here.</w:t>
      </w:r>
      <w:r w:rsidR="00F6649D">
        <w:t xml:space="preserve">  </w:t>
      </w:r>
    </w:p>
    <w:p w:rsidR="00F331E4" w:rsidRDefault="005C3B44" w:rsidP="00FA418C">
      <w:pPr>
        <w:spacing w:line="480" w:lineRule="auto"/>
        <w:ind w:right="1440" w:firstLine="720"/>
      </w:pPr>
      <w:r>
        <w:t>Because we ultimately reject the</w:t>
      </w:r>
      <w:r w:rsidR="003F3B8C">
        <w:t xml:space="preserve"> results </w:t>
      </w:r>
      <w:r w:rsidR="006D1D1E">
        <w:t>using</w:t>
      </w:r>
      <w:r w:rsidR="003F3B8C">
        <w:t xml:space="preserve"> the</w:t>
      </w:r>
      <w:r>
        <w:t xml:space="preserve"> fixed effects model, it is important to note that </w:t>
      </w:r>
      <w:r w:rsidR="00E4797E">
        <w:t xml:space="preserve">we included in the regressions </w:t>
      </w:r>
      <w:r w:rsidR="00BB05A0">
        <w:t xml:space="preserve">that are </w:t>
      </w:r>
      <w:r w:rsidR="00E4797E">
        <w:t>reported above a large set of state control variables.</w:t>
      </w:r>
      <w:r w:rsidR="00BB05A0">
        <w:rPr>
          <w:rStyle w:val="FootnoteReference"/>
        </w:rPr>
        <w:footnoteReference w:id="22"/>
      </w:r>
      <w:r w:rsidR="00E4797E">
        <w:t xml:space="preserve">  However, even with the large set of control variables it is still possible that there are unobserved state effects that bias the coefficients. </w:t>
      </w:r>
      <w:r w:rsidR="00AD0D83">
        <w:t xml:space="preserve">  </w:t>
      </w:r>
      <w:r w:rsidR="00F331E4">
        <w:t>While we cannot</w:t>
      </w:r>
      <w:r>
        <w:t xml:space="preserve"> conclusively</w:t>
      </w:r>
      <w:r w:rsidR="00F331E4">
        <w:t xml:space="preserve"> rule out th</w:t>
      </w:r>
      <w:r w:rsidR="003F3B8C">
        <w:t>is</w:t>
      </w:r>
      <w:r w:rsidR="00F331E4">
        <w:t xml:space="preserve"> possibility, we do not believe </w:t>
      </w:r>
      <w:r w:rsidR="00250709">
        <w:t xml:space="preserve">that </w:t>
      </w:r>
      <w:r w:rsidR="00F331E4">
        <w:t>the results of the fixed effects</w:t>
      </w:r>
      <w:r w:rsidR="00BB05A0">
        <w:t xml:space="preserve"> model</w:t>
      </w:r>
      <w:r w:rsidR="00250709">
        <w:t xml:space="preserve">, namely that the tax rates have no effect on insurance industry employment </w:t>
      </w:r>
      <w:r w:rsidR="00F331E4">
        <w:t>model</w:t>
      </w:r>
      <w:r w:rsidR="00250709">
        <w:t>, are an accurate measure of the effect of the insurance premium tax on employment</w:t>
      </w:r>
      <w:r w:rsidR="00F331E4">
        <w:t xml:space="preserve">.  </w:t>
      </w:r>
      <w:r w:rsidR="00BB05A0">
        <w:t xml:space="preserve">While not accounting for the unobserved heterogeneity means that the estimated coefficients reported in Tables 4 and 5 could be biased, we believe </w:t>
      </w:r>
      <w:r w:rsidR="003F3B8C">
        <w:t>our</w:t>
      </w:r>
      <w:r w:rsidR="00BB05A0">
        <w:t xml:space="preserve"> results </w:t>
      </w:r>
      <w:r w:rsidR="00BB2392">
        <w:t xml:space="preserve">do </w:t>
      </w:r>
      <w:r w:rsidR="00BB05A0">
        <w:t xml:space="preserve">imply that the foreign tax rate does have a large and negative effect on the size of the insurance industry in a state.   </w:t>
      </w:r>
    </w:p>
    <w:p w:rsidR="00F121CB" w:rsidRDefault="00F121CB" w:rsidP="00FA418C">
      <w:pPr>
        <w:spacing w:line="480" w:lineRule="auto"/>
        <w:ind w:right="1440" w:firstLine="720"/>
      </w:pPr>
    </w:p>
    <w:p w:rsidR="00085F56" w:rsidRPr="00085F56" w:rsidRDefault="00B92DB8" w:rsidP="00FA418C">
      <w:pPr>
        <w:spacing w:line="480" w:lineRule="auto"/>
        <w:ind w:right="1440"/>
        <w:rPr>
          <w:b/>
        </w:rPr>
      </w:pPr>
      <w:r>
        <w:rPr>
          <w:b/>
        </w:rPr>
        <w:lastRenderedPageBreak/>
        <w:t>6</w:t>
      </w:r>
      <w:r w:rsidR="00085F56" w:rsidRPr="00085F56">
        <w:rPr>
          <w:b/>
        </w:rPr>
        <w:t>.  Summary and Conclusions</w:t>
      </w:r>
    </w:p>
    <w:p w:rsidR="00182EE9" w:rsidRDefault="002241F0" w:rsidP="00FA418C">
      <w:pPr>
        <w:spacing w:line="480" w:lineRule="auto"/>
        <w:ind w:right="1440" w:firstLine="720"/>
      </w:pPr>
      <w:r>
        <w:t xml:space="preserve">This paper examines the </w:t>
      </w:r>
      <w:r w:rsidR="00182EE9">
        <w:t xml:space="preserve">effect </w:t>
      </w:r>
      <w:r>
        <w:t>of state</w:t>
      </w:r>
      <w:r w:rsidR="00185824">
        <w:t xml:space="preserve"> insurance premium</w:t>
      </w:r>
      <w:r>
        <w:t xml:space="preserve"> taxation </w:t>
      </w:r>
      <w:r w:rsidR="00182EE9">
        <w:t xml:space="preserve">on </w:t>
      </w:r>
      <w:r w:rsidR="00185824">
        <w:t xml:space="preserve">the </w:t>
      </w:r>
      <w:r w:rsidR="00182EE9">
        <w:t>employment</w:t>
      </w:r>
      <w:r w:rsidR="00D358A0">
        <w:t>, and other measures of industry size,</w:t>
      </w:r>
      <w:r w:rsidR="00182EE9">
        <w:t xml:space="preserve"> in t</w:t>
      </w:r>
      <w:r>
        <w:t>he property-</w:t>
      </w:r>
      <w:r w:rsidR="00B3510E">
        <w:t>casualty</w:t>
      </w:r>
      <w:r>
        <w:t xml:space="preserve"> industry</w:t>
      </w:r>
      <w:r w:rsidR="00182EE9">
        <w:t>,</w:t>
      </w:r>
      <w:r>
        <w:t xml:space="preserve"> a well</w:t>
      </w:r>
      <w:r w:rsidR="001761D0">
        <w:t>-</w:t>
      </w:r>
      <w:r>
        <w:t>defined industry with significant firm specific tax and operational information</w:t>
      </w:r>
      <w:r w:rsidR="00A95BE1">
        <w:t xml:space="preserve"> provided by insurance regulators</w:t>
      </w:r>
      <w:r>
        <w:t xml:space="preserve">.  Together with state data on employment </w:t>
      </w:r>
      <w:r w:rsidR="00D358A0">
        <w:t>of</w:t>
      </w:r>
      <w:r>
        <w:t xml:space="preserve"> direct employees of the </w:t>
      </w:r>
      <w:r w:rsidR="00727E8D">
        <w:t xml:space="preserve">property-casualty </w:t>
      </w:r>
      <w:r>
        <w:t>insurance companies we were able to examine the effect of state</w:t>
      </w:r>
      <w:r w:rsidR="00185824">
        <w:t xml:space="preserve"> insurance premium</w:t>
      </w:r>
      <w:r>
        <w:t xml:space="preserve"> tax policy on </w:t>
      </w:r>
      <w:r w:rsidR="00185824">
        <w:t xml:space="preserve">insurance industry </w:t>
      </w:r>
      <w:r>
        <w:t>employment</w:t>
      </w:r>
      <w:r w:rsidR="00D358A0">
        <w:t xml:space="preserve"> and other measure</w:t>
      </w:r>
      <w:r w:rsidR="00257FEC">
        <w:t>s</w:t>
      </w:r>
      <w:r w:rsidR="00D358A0">
        <w:t xml:space="preserve"> of industry size</w:t>
      </w:r>
      <w:r>
        <w:t xml:space="preserve">.  We were further able to </w:t>
      </w:r>
      <w:r w:rsidR="00FA5137">
        <w:t xml:space="preserve">create separate tax rates for the </w:t>
      </w:r>
      <w:r>
        <w:t xml:space="preserve">domestic and foreign companies operating within a state.  </w:t>
      </w:r>
      <w:r w:rsidR="00D86EDC">
        <w:t>We con</w:t>
      </w:r>
      <w:r w:rsidR="00B1067E">
        <w:t>sider</w:t>
      </w:r>
      <w:r w:rsidR="00D86EDC">
        <w:t xml:space="preserve"> an industry in which the definition of </w:t>
      </w:r>
      <w:r>
        <w:t xml:space="preserve">the tax base is similar </w:t>
      </w:r>
      <w:r w:rsidR="00D86EDC">
        <w:t>across</w:t>
      </w:r>
      <w:r>
        <w:t xml:space="preserve"> states (gross premiums written) and </w:t>
      </w:r>
      <w:r w:rsidR="00D86EDC">
        <w:t xml:space="preserve">for which </w:t>
      </w:r>
      <w:r>
        <w:t xml:space="preserve">there are </w:t>
      </w:r>
      <w:r w:rsidR="00185824">
        <w:t xml:space="preserve">significant </w:t>
      </w:r>
      <w:r>
        <w:t>differences in effective tax rate</w:t>
      </w:r>
      <w:r w:rsidR="00182EE9">
        <w:t>s across states.</w:t>
      </w:r>
      <w:r>
        <w:t xml:space="preserve">  </w:t>
      </w:r>
    </w:p>
    <w:p w:rsidR="00F83561" w:rsidRDefault="002F1F34" w:rsidP="00FA418C">
      <w:pPr>
        <w:spacing w:line="480" w:lineRule="auto"/>
        <w:ind w:right="1440" w:firstLine="720"/>
        <w:rPr>
          <w:b/>
        </w:rPr>
      </w:pPr>
      <w:r>
        <w:t>We provide substantial evidence that the size of a state’s property-</w:t>
      </w:r>
      <w:r w:rsidR="00965459">
        <w:t>casualty</w:t>
      </w:r>
      <w:r>
        <w:t xml:space="preserve"> insurance industry, measured in multiple ways, is negatively affected by the level of the foreign tax rate.  Furthermore, our results are </w:t>
      </w:r>
      <w:r w:rsidR="00965459">
        <w:t>robust</w:t>
      </w:r>
      <w:r>
        <w:t xml:space="preserve"> to alternative specifications</w:t>
      </w:r>
      <w:r w:rsidR="00D86EDC">
        <w:t>, although there are differences in the size of the coefficients across models</w:t>
      </w:r>
      <w:r>
        <w:t xml:space="preserve">.  To illustrate the magnitude of the effect, we estimate </w:t>
      </w:r>
      <w:r w:rsidR="000615F5">
        <w:t xml:space="preserve">using the 2SLS results </w:t>
      </w:r>
      <w:r>
        <w:t>t</w:t>
      </w:r>
      <w:r w:rsidR="0018508D">
        <w:t>h</w:t>
      </w:r>
      <w:r>
        <w:t>at the</w:t>
      </w:r>
      <w:r w:rsidR="0018508D">
        <w:t xml:space="preserve"> elasticity of employment in the property-casualty industry with respect to the </w:t>
      </w:r>
      <w:r>
        <w:t xml:space="preserve">foreign </w:t>
      </w:r>
      <w:r w:rsidR="0018508D">
        <w:t>tax rate is</w:t>
      </w:r>
      <w:r>
        <w:t xml:space="preserve"> </w:t>
      </w:r>
      <w:r w:rsidR="009072CC">
        <w:t>between -0.</w:t>
      </w:r>
      <w:r w:rsidR="00E72907">
        <w:t>428</w:t>
      </w:r>
      <w:r w:rsidR="009072CC">
        <w:t xml:space="preserve"> and</w:t>
      </w:r>
      <w:r w:rsidR="00CE3519">
        <w:t xml:space="preserve"> -</w:t>
      </w:r>
      <w:r w:rsidR="00E72907">
        <w:t>1.45</w:t>
      </w:r>
      <w:r w:rsidR="0038290A">
        <w:t xml:space="preserve">, which </w:t>
      </w:r>
      <w:r w:rsidR="00E72907">
        <w:t xml:space="preserve">compares to </w:t>
      </w:r>
      <w:r w:rsidR="0018508D">
        <w:t xml:space="preserve">the range of </w:t>
      </w:r>
      <w:proofErr w:type="spellStart"/>
      <w:r w:rsidR="0018508D">
        <w:t>elasticities</w:t>
      </w:r>
      <w:proofErr w:type="spellEnd"/>
      <w:r w:rsidR="0018508D">
        <w:t xml:space="preserve"> reported by </w:t>
      </w:r>
      <w:proofErr w:type="spellStart"/>
      <w:r w:rsidR="0018508D">
        <w:t>Bartik</w:t>
      </w:r>
      <w:proofErr w:type="spellEnd"/>
      <w:r w:rsidR="0018508D">
        <w:t xml:space="preserve"> (1992) and Phillips and Goss (1995)</w:t>
      </w:r>
      <w:r w:rsidR="00E72907">
        <w:t xml:space="preserve"> of -0.15 to -0.85</w:t>
      </w:r>
      <w:r w:rsidR="0018508D">
        <w:t>.</w:t>
      </w:r>
      <w:r w:rsidR="00D0115F">
        <w:t xml:space="preserve"> </w:t>
      </w:r>
      <w:r w:rsidR="00F83561">
        <w:rPr>
          <w:b/>
        </w:rPr>
        <w:br w:type="page"/>
      </w:r>
    </w:p>
    <w:p w:rsidR="0022158C" w:rsidRPr="00085F56" w:rsidRDefault="00094D79" w:rsidP="00FA418C">
      <w:pPr>
        <w:spacing w:line="480" w:lineRule="auto"/>
        <w:ind w:right="1440"/>
        <w:rPr>
          <w:b/>
        </w:rPr>
      </w:pPr>
      <w:r w:rsidRPr="00085F56">
        <w:rPr>
          <w:b/>
        </w:rPr>
        <w:lastRenderedPageBreak/>
        <w:t>References</w:t>
      </w:r>
    </w:p>
    <w:p w:rsidR="0054175D" w:rsidRDefault="00D44C9C" w:rsidP="00FA418C">
      <w:pPr>
        <w:ind w:left="720" w:right="1440" w:hanging="720"/>
      </w:pPr>
      <w:r>
        <w:t xml:space="preserve">Alt, James E., and Robert Lowry. 1994. “Government, Fiscal Institutions, and Budget Deficits: Evidence from the States.” </w:t>
      </w:r>
      <w:r w:rsidRPr="00D44C9C">
        <w:rPr>
          <w:i/>
        </w:rPr>
        <w:t>The American Political Science Review</w:t>
      </w:r>
      <w:r>
        <w:t xml:space="preserve"> 88(4): 811-828.</w:t>
      </w:r>
    </w:p>
    <w:p w:rsidR="00D44C9C" w:rsidRDefault="00D44C9C" w:rsidP="00FA418C">
      <w:pPr>
        <w:ind w:left="720" w:right="1440" w:hanging="720"/>
      </w:pPr>
    </w:p>
    <w:p w:rsidR="003C5D5F" w:rsidRDefault="003C5D5F" w:rsidP="00FA418C">
      <w:pPr>
        <w:ind w:left="720" w:right="1440" w:hanging="720"/>
      </w:pPr>
      <w:proofErr w:type="spellStart"/>
      <w:r>
        <w:t>Bartik</w:t>
      </w:r>
      <w:proofErr w:type="spellEnd"/>
      <w:r>
        <w:t xml:space="preserve">, </w:t>
      </w:r>
      <w:proofErr w:type="spellStart"/>
      <w:r>
        <w:t>Timonthy</w:t>
      </w:r>
      <w:proofErr w:type="spellEnd"/>
      <w:r>
        <w:t xml:space="preserve"> J. 1991. </w:t>
      </w:r>
      <w:r w:rsidRPr="003C5D5F">
        <w:rPr>
          <w:i/>
        </w:rPr>
        <w:t>Who Benefits from State and Local Economic Development Policies?</w:t>
      </w:r>
      <w:r>
        <w:t xml:space="preserve"> Kalamazoo, MI: W. E. Upjohn Institute for Employment Research.</w:t>
      </w:r>
    </w:p>
    <w:p w:rsidR="003C5D5F" w:rsidRDefault="003C5D5F" w:rsidP="00FA418C">
      <w:pPr>
        <w:ind w:left="720" w:right="1440" w:hanging="720"/>
      </w:pPr>
    </w:p>
    <w:p w:rsidR="0054175D" w:rsidRDefault="0054175D" w:rsidP="00FA418C">
      <w:pPr>
        <w:ind w:left="720" w:right="1440" w:hanging="720"/>
      </w:pPr>
      <w:proofErr w:type="spellStart"/>
      <w:r>
        <w:t>Bartik</w:t>
      </w:r>
      <w:proofErr w:type="spellEnd"/>
      <w:r>
        <w:t xml:space="preserve">, </w:t>
      </w:r>
      <w:proofErr w:type="spellStart"/>
      <w:r>
        <w:t>Timonthy</w:t>
      </w:r>
      <w:proofErr w:type="spellEnd"/>
      <w:r>
        <w:t xml:space="preserve"> J. 1992. “The Effects of State and Local Taxes on Economic Development: A Review of Recent Research</w:t>
      </w:r>
      <w:r w:rsidR="00BA0A54">
        <w:t>,</w:t>
      </w:r>
      <w:r>
        <w:t xml:space="preserve">” </w:t>
      </w:r>
      <w:r w:rsidRPr="00FC662B">
        <w:rPr>
          <w:i/>
        </w:rPr>
        <w:t>Economic Development Quarterly</w:t>
      </w:r>
      <w:r>
        <w:t xml:space="preserve"> </w:t>
      </w:r>
      <w:r w:rsidR="00FC662B">
        <w:t>6(1): 102-111.</w:t>
      </w:r>
    </w:p>
    <w:p w:rsidR="00185824" w:rsidRDefault="00185824" w:rsidP="00FA418C">
      <w:pPr>
        <w:ind w:left="720" w:right="1440" w:hanging="720"/>
      </w:pPr>
    </w:p>
    <w:p w:rsidR="00185824" w:rsidRPr="00B9271F" w:rsidRDefault="00185824" w:rsidP="00B9271F">
      <w:pPr>
        <w:ind w:left="720" w:right="1440" w:hanging="720"/>
      </w:pPr>
      <w:r>
        <w:t xml:space="preserve">Brett, Craig and </w:t>
      </w:r>
      <w:proofErr w:type="spellStart"/>
      <w:r>
        <w:t>Joris</w:t>
      </w:r>
      <w:proofErr w:type="spellEnd"/>
      <w:r>
        <w:t xml:space="preserve"> </w:t>
      </w:r>
      <w:proofErr w:type="spellStart"/>
      <w:r>
        <w:t>Pinkse</w:t>
      </w:r>
      <w:proofErr w:type="spellEnd"/>
      <w:r>
        <w:t xml:space="preserve">. 2000. “The Determinants of Municipal Tax Rates in British Columbia,” </w:t>
      </w:r>
      <w:r w:rsidRPr="000066F4">
        <w:rPr>
          <w:i/>
        </w:rPr>
        <w:t>Canadian Journal of Economics</w:t>
      </w:r>
      <w:r w:rsidR="00D44C9C">
        <w:t xml:space="preserve"> 33(3): 695-714.</w:t>
      </w:r>
    </w:p>
    <w:p w:rsidR="00B9271F" w:rsidRPr="00B9271F" w:rsidRDefault="00B9271F" w:rsidP="00CC086A">
      <w:pPr>
        <w:ind w:left="720" w:right="1440" w:hanging="720"/>
      </w:pPr>
    </w:p>
    <w:p w:rsidR="00B9271F" w:rsidRPr="00B9271F" w:rsidRDefault="00B9271F" w:rsidP="00CC086A">
      <w:pPr>
        <w:ind w:left="720" w:right="1440" w:hanging="720"/>
        <w:rPr>
          <w:color w:val="000000"/>
        </w:rPr>
      </w:pPr>
      <w:r w:rsidRPr="00B9271F">
        <w:rPr>
          <w:color w:val="000000"/>
        </w:rPr>
        <w:t>Cummins, J. D</w:t>
      </w:r>
      <w:r>
        <w:rPr>
          <w:color w:val="000000"/>
        </w:rPr>
        <w:t>avid</w:t>
      </w:r>
      <w:r w:rsidRPr="00B9271F">
        <w:rPr>
          <w:color w:val="000000"/>
        </w:rPr>
        <w:t xml:space="preserve">, </w:t>
      </w:r>
      <w:r>
        <w:rPr>
          <w:color w:val="000000"/>
        </w:rPr>
        <w:t xml:space="preserve">and Mary A. </w:t>
      </w:r>
      <w:r w:rsidRPr="00B9271F">
        <w:rPr>
          <w:color w:val="000000"/>
        </w:rPr>
        <w:t xml:space="preserve">Weiss. 2001. </w:t>
      </w:r>
      <w:r>
        <w:rPr>
          <w:color w:val="000000"/>
        </w:rPr>
        <w:t>“</w:t>
      </w:r>
      <w:r w:rsidRPr="00B9271F">
        <w:rPr>
          <w:color w:val="000000"/>
        </w:rPr>
        <w:t xml:space="preserve">Analyzing </w:t>
      </w:r>
      <w:r>
        <w:rPr>
          <w:color w:val="000000"/>
        </w:rPr>
        <w:t>F</w:t>
      </w:r>
      <w:r w:rsidRPr="00B9271F">
        <w:rPr>
          <w:color w:val="000000"/>
        </w:rPr>
        <w:t xml:space="preserve">irm </w:t>
      </w:r>
      <w:r>
        <w:rPr>
          <w:color w:val="000000"/>
        </w:rPr>
        <w:t>P</w:t>
      </w:r>
      <w:r w:rsidRPr="00B9271F">
        <w:rPr>
          <w:color w:val="000000"/>
        </w:rPr>
        <w:t xml:space="preserve">erformance in the </w:t>
      </w:r>
      <w:r>
        <w:rPr>
          <w:color w:val="000000"/>
        </w:rPr>
        <w:t>I</w:t>
      </w:r>
      <w:r w:rsidRPr="00B9271F">
        <w:rPr>
          <w:color w:val="000000"/>
        </w:rPr>
        <w:t xml:space="preserve">nsurance </w:t>
      </w:r>
      <w:r>
        <w:rPr>
          <w:color w:val="000000"/>
        </w:rPr>
        <w:t>I</w:t>
      </w:r>
      <w:r w:rsidRPr="00B9271F">
        <w:rPr>
          <w:color w:val="000000"/>
        </w:rPr>
        <w:t xml:space="preserve">ndustry </w:t>
      </w:r>
      <w:r>
        <w:rPr>
          <w:color w:val="000000"/>
        </w:rPr>
        <w:t>Using F</w:t>
      </w:r>
      <w:r w:rsidRPr="00B9271F">
        <w:rPr>
          <w:color w:val="000000"/>
        </w:rPr>
        <w:t xml:space="preserve">rontier </w:t>
      </w:r>
      <w:r>
        <w:rPr>
          <w:color w:val="000000"/>
        </w:rPr>
        <w:t>E</w:t>
      </w:r>
      <w:r w:rsidRPr="00B9271F">
        <w:rPr>
          <w:color w:val="000000"/>
        </w:rPr>
        <w:t xml:space="preserve">fficiency and </w:t>
      </w:r>
      <w:r>
        <w:rPr>
          <w:color w:val="000000"/>
        </w:rPr>
        <w:t>P</w:t>
      </w:r>
      <w:r w:rsidRPr="00B9271F">
        <w:rPr>
          <w:color w:val="000000"/>
        </w:rPr>
        <w:t xml:space="preserve">roductivity </w:t>
      </w:r>
      <w:r>
        <w:rPr>
          <w:color w:val="000000"/>
        </w:rPr>
        <w:t>M</w:t>
      </w:r>
      <w:r w:rsidRPr="00B9271F">
        <w:rPr>
          <w:color w:val="000000"/>
        </w:rPr>
        <w:t>ethods</w:t>
      </w:r>
      <w:r>
        <w:rPr>
          <w:color w:val="000000"/>
        </w:rPr>
        <w:t xml:space="preserve">” </w:t>
      </w:r>
      <w:r w:rsidRPr="00B9271F">
        <w:rPr>
          <w:i/>
          <w:color w:val="000000"/>
        </w:rPr>
        <w:t>Handbook of Insurance</w:t>
      </w:r>
      <w:r w:rsidRPr="00B9271F">
        <w:rPr>
          <w:color w:val="000000"/>
        </w:rPr>
        <w:t>. Vol. 22 of Huebner International Series on Risk, Insurance and Economic Security. Netherlands, Dordrecht</w:t>
      </w:r>
      <w:r>
        <w:rPr>
          <w:color w:val="000000"/>
        </w:rPr>
        <w:t>:</w:t>
      </w:r>
      <w:r w:rsidRPr="00B9271F">
        <w:rPr>
          <w:color w:val="000000"/>
        </w:rPr>
        <w:t xml:space="preserve"> Springer, Ch. 24, pp. 767–829.</w:t>
      </w:r>
    </w:p>
    <w:p w:rsidR="00AF42E7" w:rsidRPr="00B9271F" w:rsidRDefault="00AF42E7" w:rsidP="00CC086A">
      <w:pPr>
        <w:ind w:left="720" w:right="1440" w:hanging="720"/>
        <w:rPr>
          <w:rStyle w:val="medium-font"/>
        </w:rPr>
      </w:pPr>
    </w:p>
    <w:p w:rsidR="00AF42E7" w:rsidRDefault="00AF42E7" w:rsidP="00FA418C">
      <w:pPr>
        <w:ind w:left="720" w:right="1440" w:hanging="720"/>
        <w:rPr>
          <w:rStyle w:val="medium-font"/>
        </w:rPr>
      </w:pPr>
      <w:r>
        <w:rPr>
          <w:rStyle w:val="medium-font"/>
        </w:rPr>
        <w:t xml:space="preserve">Decker, Christopher S. and Mark E. </w:t>
      </w:r>
      <w:proofErr w:type="spellStart"/>
      <w:r>
        <w:rPr>
          <w:rStyle w:val="medium-font"/>
        </w:rPr>
        <w:t>Wohar</w:t>
      </w:r>
      <w:proofErr w:type="spellEnd"/>
      <w:r>
        <w:rPr>
          <w:rStyle w:val="medium-font"/>
        </w:rPr>
        <w:t>. 2007. “Determinants of State Diesel Fuel Excise Tax Rates: The Political Economy of Fuel Taxation in the United States,”</w:t>
      </w:r>
      <w:r w:rsidRPr="000066F4">
        <w:rPr>
          <w:rStyle w:val="medium-font"/>
          <w:i/>
        </w:rPr>
        <w:t xml:space="preserve"> Annual</w:t>
      </w:r>
      <w:r>
        <w:rPr>
          <w:rStyle w:val="medium-font"/>
          <w:i/>
        </w:rPr>
        <w:t>s</w:t>
      </w:r>
      <w:r w:rsidRPr="000066F4">
        <w:rPr>
          <w:rStyle w:val="medium-font"/>
          <w:i/>
        </w:rPr>
        <w:t xml:space="preserve"> of Regional Science</w:t>
      </w:r>
      <w:r>
        <w:rPr>
          <w:rStyle w:val="medium-font"/>
        </w:rPr>
        <w:t xml:space="preserve"> 41(1): 171-188.</w:t>
      </w:r>
    </w:p>
    <w:p w:rsidR="00142F4F" w:rsidRDefault="00142F4F" w:rsidP="00FA418C">
      <w:pPr>
        <w:ind w:left="720" w:right="1440" w:hanging="720"/>
        <w:rPr>
          <w:rStyle w:val="medium-font"/>
        </w:rPr>
      </w:pPr>
    </w:p>
    <w:p w:rsidR="00142F4F" w:rsidRDefault="00142F4F" w:rsidP="00FA418C">
      <w:pPr>
        <w:ind w:left="720" w:right="1440" w:hanging="720"/>
        <w:rPr>
          <w:rStyle w:val="medium-font"/>
        </w:rPr>
      </w:pPr>
      <w:proofErr w:type="spellStart"/>
      <w:r>
        <w:rPr>
          <w:rStyle w:val="medium-font"/>
        </w:rPr>
        <w:t>Dubin</w:t>
      </w:r>
      <w:proofErr w:type="spellEnd"/>
      <w:r>
        <w:rPr>
          <w:rStyle w:val="medium-font"/>
        </w:rPr>
        <w:t xml:space="preserve">, Michael J. 2007. </w:t>
      </w:r>
      <w:r w:rsidRPr="00075E11">
        <w:rPr>
          <w:rStyle w:val="medium-font"/>
          <w:i/>
        </w:rPr>
        <w:t>Party Affiliations in the State Legislatures</w:t>
      </w:r>
      <w:r>
        <w:rPr>
          <w:rStyle w:val="medium-font"/>
        </w:rPr>
        <w:t>. Jefferson, NC: McFarland.</w:t>
      </w:r>
    </w:p>
    <w:p w:rsidR="00BC34FB" w:rsidRDefault="00BC34FB" w:rsidP="00FA418C">
      <w:pPr>
        <w:ind w:left="720" w:right="1440" w:hanging="720"/>
        <w:rPr>
          <w:rStyle w:val="medium-font"/>
        </w:rPr>
      </w:pPr>
    </w:p>
    <w:p w:rsidR="00BC34FB" w:rsidRPr="001D4452" w:rsidRDefault="00BC34FB" w:rsidP="00FA418C">
      <w:pPr>
        <w:ind w:left="720" w:right="1440" w:hanging="720"/>
      </w:pPr>
      <w:r>
        <w:rPr>
          <w:rStyle w:val="medium-font"/>
        </w:rPr>
        <w:t>Fletcher, Jason</w:t>
      </w:r>
      <w:r w:rsidR="001B5C11">
        <w:rPr>
          <w:rStyle w:val="medium-font"/>
        </w:rPr>
        <w:t xml:space="preserve"> M.</w:t>
      </w:r>
      <w:r>
        <w:rPr>
          <w:rStyle w:val="medium-font"/>
        </w:rPr>
        <w:t xml:space="preserve"> and Matthew </w:t>
      </w:r>
      <w:r w:rsidR="001B5C11">
        <w:rPr>
          <w:rStyle w:val="medium-font"/>
        </w:rPr>
        <w:t xml:space="preserve">N. </w:t>
      </w:r>
      <w:r>
        <w:rPr>
          <w:rStyle w:val="medium-font"/>
        </w:rPr>
        <w:t xml:space="preserve">Murray. </w:t>
      </w:r>
      <w:r w:rsidR="001B5C11">
        <w:rPr>
          <w:rStyle w:val="medium-font"/>
        </w:rPr>
        <w:t xml:space="preserve">2008. “What Factors Influence the Structure of the State Income Tax.” </w:t>
      </w:r>
      <w:r w:rsidR="001B5C11" w:rsidRPr="00075E11">
        <w:rPr>
          <w:rStyle w:val="medium-font"/>
          <w:i/>
        </w:rPr>
        <w:t>Public Finance Review</w:t>
      </w:r>
      <w:r w:rsidR="001B5C11">
        <w:rPr>
          <w:rStyle w:val="medium-font"/>
        </w:rPr>
        <w:t xml:space="preserve"> 36(4): 475-496.</w:t>
      </w:r>
    </w:p>
    <w:p w:rsidR="00FC662B" w:rsidRDefault="00FC662B" w:rsidP="00FA418C">
      <w:pPr>
        <w:ind w:left="720" w:right="1440" w:hanging="720"/>
      </w:pPr>
    </w:p>
    <w:p w:rsidR="001172E1" w:rsidRDefault="00283F83" w:rsidP="00FA418C">
      <w:pPr>
        <w:ind w:left="720" w:right="1440" w:hanging="720"/>
      </w:pPr>
      <w:r>
        <w:t>Grace, Martin, David L. Sjoquist, and Laura Wheeler</w:t>
      </w:r>
      <w:r w:rsidR="00216092">
        <w:t>.</w:t>
      </w:r>
      <w:r>
        <w:t xml:space="preserve"> 200</w:t>
      </w:r>
      <w:r w:rsidR="007512C4">
        <w:t>9</w:t>
      </w:r>
      <w:r w:rsidR="007512C4" w:rsidRPr="00745EB1">
        <w:t xml:space="preserve">. </w:t>
      </w:r>
      <w:r w:rsidR="007512C4" w:rsidRPr="00F210A6">
        <w:t xml:space="preserve">“Insurance Premium Taxes”.  </w:t>
      </w:r>
      <w:r w:rsidR="007512C4" w:rsidRPr="00F210A6">
        <w:rPr>
          <w:i/>
        </w:rPr>
        <w:t xml:space="preserve"> Proceedings of the Hundredth </w:t>
      </w:r>
      <w:r w:rsidR="007512C4" w:rsidRPr="00F210A6">
        <w:rPr>
          <w:i/>
          <w:color w:val="000000"/>
        </w:rPr>
        <w:t>Annual Conference on Taxation of the National Tax Association</w:t>
      </w:r>
      <w:r w:rsidR="007512C4" w:rsidRPr="00F210A6">
        <w:rPr>
          <w:i/>
        </w:rPr>
        <w:t xml:space="preserve">, </w:t>
      </w:r>
      <w:r w:rsidR="007512C4" w:rsidRPr="007512C4">
        <w:t>34-42.</w:t>
      </w:r>
    </w:p>
    <w:p w:rsidR="001172E1" w:rsidRDefault="001172E1" w:rsidP="00FA418C">
      <w:pPr>
        <w:ind w:left="720" w:right="1440" w:hanging="720"/>
      </w:pPr>
    </w:p>
    <w:p w:rsidR="001172E1" w:rsidRDefault="001172E1" w:rsidP="00FA418C">
      <w:pPr>
        <w:ind w:left="720" w:right="1440" w:hanging="720"/>
      </w:pPr>
      <w:r>
        <w:t xml:space="preserve">Grace, Martin F. and Yuan </w:t>
      </w:r>
      <w:proofErr w:type="spellStart"/>
      <w:r>
        <w:t>Yuan</w:t>
      </w:r>
      <w:proofErr w:type="spellEnd"/>
      <w:r>
        <w:t xml:space="preserve">, 2012, The Effect of Premium Taxation on Life Insurers”, </w:t>
      </w:r>
      <w:r w:rsidRPr="005C2B51">
        <w:rPr>
          <w:i/>
        </w:rPr>
        <w:t>Journal</w:t>
      </w:r>
      <w:r w:rsidRPr="009667A2">
        <w:rPr>
          <w:i/>
        </w:rPr>
        <w:t xml:space="preserve"> of Insurance </w:t>
      </w:r>
      <w:r w:rsidRPr="005C2B51">
        <w:rPr>
          <w:i/>
        </w:rPr>
        <w:t>Regulation</w:t>
      </w:r>
      <w:r w:rsidR="00D44C9C">
        <w:rPr>
          <w:i/>
        </w:rPr>
        <w:t>,</w:t>
      </w:r>
      <w:r w:rsidR="00D44C9C" w:rsidRPr="00D44C9C">
        <w:t xml:space="preserve"> </w:t>
      </w:r>
      <w:r w:rsidR="00D44C9C">
        <w:t>forthcoming</w:t>
      </w:r>
      <w:r>
        <w:t>.</w:t>
      </w:r>
    </w:p>
    <w:p w:rsidR="004C7F10" w:rsidRDefault="004C7F10" w:rsidP="00FA418C">
      <w:pPr>
        <w:ind w:left="720" w:right="1440" w:hanging="720"/>
      </w:pPr>
    </w:p>
    <w:p w:rsidR="004C7F10" w:rsidRDefault="004C7F10" w:rsidP="003F3B8C">
      <w:pPr>
        <w:ind w:left="720" w:right="1440" w:hanging="720"/>
      </w:pPr>
      <w:r>
        <w:t xml:space="preserve">Greene, William H. (2011). “Fixed Effects Vector Decomposition: A Magical Solution to the Problem of Time-Invariant Variables in Fixed Effects Models?”  </w:t>
      </w:r>
      <w:r w:rsidRPr="00EA37E6">
        <w:rPr>
          <w:i/>
        </w:rPr>
        <w:t>Political Analysis</w:t>
      </w:r>
      <w:r>
        <w:t xml:space="preserve"> 19: 135-146.</w:t>
      </w:r>
    </w:p>
    <w:p w:rsidR="00216092" w:rsidRDefault="00216092" w:rsidP="00FA418C">
      <w:pPr>
        <w:ind w:left="720" w:right="1440" w:hanging="720"/>
      </w:pPr>
    </w:p>
    <w:p w:rsidR="00216092" w:rsidRPr="00745EB1" w:rsidRDefault="00216092" w:rsidP="00FA418C">
      <w:pPr>
        <w:ind w:left="720" w:right="1440" w:hanging="720"/>
      </w:pPr>
      <w:r>
        <w:t xml:space="preserve">Gupta, Sanjay, Jared Moore, Jeffrey </w:t>
      </w:r>
      <w:proofErr w:type="spellStart"/>
      <w:r>
        <w:t>Gramlich</w:t>
      </w:r>
      <w:proofErr w:type="spellEnd"/>
      <w:r>
        <w:t xml:space="preserve">, and Mary Ann Hoffman. 2009. “Empirical Evidence of the Revenue Effects of State Corporate Income Tax Policies.” </w:t>
      </w:r>
      <w:r w:rsidRPr="00075E11">
        <w:rPr>
          <w:i/>
        </w:rPr>
        <w:t>National Tax Journal</w:t>
      </w:r>
      <w:r>
        <w:t xml:space="preserve"> 62(2): 237-267.</w:t>
      </w:r>
    </w:p>
    <w:p w:rsidR="00283F83" w:rsidRDefault="00283F83" w:rsidP="00FA418C">
      <w:pPr>
        <w:ind w:left="720" w:right="1440" w:hanging="720"/>
      </w:pPr>
    </w:p>
    <w:p w:rsidR="00407B35" w:rsidRPr="002C4EF3" w:rsidRDefault="00407B35" w:rsidP="00FA418C">
      <w:pPr>
        <w:ind w:left="720" w:right="1440" w:hanging="720"/>
        <w:rPr>
          <w:color w:val="000000"/>
        </w:rPr>
      </w:pPr>
      <w:r w:rsidRPr="00407B35">
        <w:t>Harrington, Scott</w:t>
      </w:r>
      <w:r w:rsidR="00216092">
        <w:t>.</w:t>
      </w:r>
      <w:r w:rsidRPr="00407B35">
        <w:t xml:space="preserve"> 2002</w:t>
      </w:r>
      <w:r w:rsidR="00BA0A54">
        <w:t>.</w:t>
      </w:r>
      <w:r w:rsidRPr="00407B35">
        <w:t xml:space="preserve"> “Effects of Prior Approval Rate Regulation of Auto Insurance</w:t>
      </w:r>
      <w:r w:rsidRPr="00407B35">
        <w:rPr>
          <w:i/>
        </w:rPr>
        <w:t>”</w:t>
      </w:r>
      <w:r w:rsidRPr="00407B35">
        <w:t xml:space="preserve"> in</w:t>
      </w:r>
      <w:r w:rsidRPr="00407B35">
        <w:rPr>
          <w:i/>
        </w:rPr>
        <w:t xml:space="preserve"> </w:t>
      </w:r>
      <w:r w:rsidRPr="00407B35">
        <w:rPr>
          <w:i/>
          <w:color w:val="000000"/>
        </w:rPr>
        <w:t xml:space="preserve">Deregulating </w:t>
      </w:r>
      <w:r w:rsidR="00862E06">
        <w:rPr>
          <w:i/>
          <w:color w:val="000000"/>
        </w:rPr>
        <w:t>Property-casualty</w:t>
      </w:r>
      <w:r w:rsidRPr="00407B35">
        <w:rPr>
          <w:i/>
          <w:color w:val="000000"/>
        </w:rPr>
        <w:t xml:space="preserve"> Insurance: Restoring Competition and Increasing Market Efficiency</w:t>
      </w:r>
      <w:r>
        <w:rPr>
          <w:color w:val="000000"/>
        </w:rPr>
        <w:t>,</w:t>
      </w:r>
      <w:r w:rsidRPr="00407B35">
        <w:rPr>
          <w:color w:val="000000"/>
        </w:rPr>
        <w:t xml:space="preserve"> J. David Cummins (</w:t>
      </w:r>
      <w:r w:rsidRPr="00407B35">
        <w:rPr>
          <w:i/>
          <w:color w:val="000000"/>
        </w:rPr>
        <w:t>Ed</w:t>
      </w:r>
      <w:r>
        <w:rPr>
          <w:color w:val="000000"/>
        </w:rPr>
        <w:t>.)</w:t>
      </w:r>
      <w:r w:rsidRPr="00407B35">
        <w:rPr>
          <w:color w:val="000000"/>
        </w:rPr>
        <w:t xml:space="preserve"> (AEI-Brookings Joint </w:t>
      </w:r>
      <w:r w:rsidRPr="002C4EF3">
        <w:rPr>
          <w:color w:val="000000"/>
        </w:rPr>
        <w:t>Center for Regulatory Studies:  Washington, DC).</w:t>
      </w:r>
    </w:p>
    <w:p w:rsidR="002C4EF3" w:rsidRPr="002C4EF3" w:rsidRDefault="002C4EF3" w:rsidP="00FA418C">
      <w:pPr>
        <w:ind w:left="720" w:right="1440" w:hanging="720"/>
        <w:rPr>
          <w:color w:val="000000"/>
        </w:rPr>
      </w:pPr>
    </w:p>
    <w:p w:rsidR="00734FB5" w:rsidRPr="00734FB5" w:rsidRDefault="00734FB5" w:rsidP="00FA418C">
      <w:pPr>
        <w:ind w:left="720" w:right="1440" w:hanging="720"/>
      </w:pPr>
      <w:r>
        <w:lastRenderedPageBreak/>
        <w:t xml:space="preserve">Helms, L. Jay. 1985. “The Effect of State and Local Taxes on Economic Growth: A Time Series-Cross Section Approach”. </w:t>
      </w:r>
      <w:r>
        <w:rPr>
          <w:i/>
        </w:rPr>
        <w:t>The R</w:t>
      </w:r>
      <w:r w:rsidR="00CC4DBF" w:rsidRPr="00CC4DBF">
        <w:rPr>
          <w:i/>
        </w:rPr>
        <w:t>eview of Economic and Statistics</w:t>
      </w:r>
      <w:r>
        <w:t xml:space="preserve"> 67 (4): 574-582.</w:t>
      </w:r>
    </w:p>
    <w:p w:rsidR="00504C77" w:rsidRDefault="00504C77" w:rsidP="00FA418C">
      <w:pPr>
        <w:ind w:left="720" w:right="1440"/>
        <w:rPr>
          <w:rStyle w:val="medium-font"/>
        </w:rPr>
      </w:pPr>
    </w:p>
    <w:p w:rsidR="000F007A" w:rsidRPr="00BA0A54" w:rsidRDefault="00173C45" w:rsidP="00FA418C">
      <w:pPr>
        <w:spacing w:line="210" w:lineRule="atLeast"/>
        <w:ind w:left="720" w:right="1440" w:hanging="720"/>
        <w:rPr>
          <w:color w:val="000000" w:themeColor="text1"/>
        </w:rPr>
      </w:pPr>
      <w:proofErr w:type="spellStart"/>
      <w:r w:rsidRPr="00173C45">
        <w:rPr>
          <w:color w:val="000000" w:themeColor="text1"/>
        </w:rPr>
        <w:t>Kleibergen</w:t>
      </w:r>
      <w:proofErr w:type="spellEnd"/>
      <w:r w:rsidRPr="00173C45">
        <w:rPr>
          <w:color w:val="000000" w:themeColor="text1"/>
        </w:rPr>
        <w:t>, Frank,  2004</w:t>
      </w:r>
      <w:r w:rsidR="00BA0A54">
        <w:rPr>
          <w:color w:val="000000" w:themeColor="text1"/>
        </w:rPr>
        <w:t>.</w:t>
      </w:r>
      <w:r w:rsidRPr="00173C45">
        <w:rPr>
          <w:color w:val="000000" w:themeColor="text1"/>
        </w:rPr>
        <w:t xml:space="preserve"> “</w:t>
      </w:r>
      <w:r w:rsidRPr="00173C45">
        <w:rPr>
          <w:bCs/>
          <w:color w:val="000000" w:themeColor="text1"/>
        </w:rPr>
        <w:t xml:space="preserve">Testing Subsets of Structural Parameters in the Instrumental Variables Regression Model,” </w:t>
      </w:r>
      <w:r w:rsidRPr="00173C45">
        <w:rPr>
          <w:rStyle w:val="HTMLCite"/>
          <w:color w:val="000000" w:themeColor="text1"/>
        </w:rPr>
        <w:t>The Review of Economics and Statistics</w:t>
      </w:r>
      <w:r w:rsidRPr="00173C45">
        <w:rPr>
          <w:color w:val="000000" w:themeColor="text1"/>
        </w:rPr>
        <w:t>, 86(1): 418-423</w:t>
      </w:r>
      <w:r w:rsidR="00D44C9C">
        <w:rPr>
          <w:color w:val="000000" w:themeColor="text1"/>
        </w:rPr>
        <w:t>.</w:t>
      </w:r>
    </w:p>
    <w:p w:rsidR="00BA0A54" w:rsidRPr="00BA0A54" w:rsidRDefault="00BA0A54" w:rsidP="00FA418C">
      <w:pPr>
        <w:spacing w:line="210" w:lineRule="atLeast"/>
        <w:ind w:left="720" w:right="1440" w:hanging="720"/>
        <w:rPr>
          <w:color w:val="000000" w:themeColor="text1"/>
        </w:rPr>
      </w:pPr>
    </w:p>
    <w:p w:rsidR="00E85220" w:rsidRDefault="00E85220" w:rsidP="00FA418C">
      <w:pPr>
        <w:ind w:left="720" w:right="1440" w:hanging="720"/>
      </w:pPr>
      <w:proofErr w:type="gramStart"/>
      <w:r>
        <w:t>Kimball, Spencer, and Ronald Boyce, 1958</w:t>
      </w:r>
      <w:r w:rsidR="00BA0A54">
        <w:t>.</w:t>
      </w:r>
      <w:proofErr w:type="gramEnd"/>
      <w:r>
        <w:t xml:space="preserve"> </w:t>
      </w:r>
      <w:r w:rsidR="00BA0A54">
        <w:t>“</w:t>
      </w:r>
      <w:r>
        <w:t>The Adequacy of State Insurance Rate Regulation:  The McCarran-F</w:t>
      </w:r>
      <w:r w:rsidR="0072691D">
        <w:t>e</w:t>
      </w:r>
      <w:r>
        <w:t xml:space="preserve">rguson </w:t>
      </w:r>
      <w:r w:rsidR="0072691D">
        <w:t>Act</w:t>
      </w:r>
      <w:r>
        <w:t xml:space="preserve"> in Historical </w:t>
      </w:r>
      <w:r w:rsidR="0072691D">
        <w:t>Perspective</w:t>
      </w:r>
      <w:r w:rsidR="00BA0A54">
        <w:t>”</w:t>
      </w:r>
      <w:r>
        <w:t xml:space="preserve"> 56 </w:t>
      </w:r>
      <w:r w:rsidRPr="00E85220">
        <w:rPr>
          <w:i/>
        </w:rPr>
        <w:t>Michigan Law Review</w:t>
      </w:r>
      <w:r>
        <w:t xml:space="preserve"> 545-</w:t>
      </w:r>
      <w:r w:rsidR="0072691D">
        <w:t>578.</w:t>
      </w:r>
    </w:p>
    <w:p w:rsidR="0072691D" w:rsidRDefault="0072691D" w:rsidP="00FA418C">
      <w:pPr>
        <w:ind w:left="720" w:right="1440" w:hanging="720"/>
      </w:pPr>
    </w:p>
    <w:p w:rsidR="00283F83" w:rsidRDefault="00283F83" w:rsidP="00FA418C">
      <w:pPr>
        <w:ind w:left="720" w:right="1440" w:hanging="720"/>
      </w:pPr>
      <w:r>
        <w:t xml:space="preserve">McNamara, Michael, Stephen Pruitt, and David </w:t>
      </w:r>
      <w:proofErr w:type="spellStart"/>
      <w:r>
        <w:t>Kuipers</w:t>
      </w:r>
      <w:proofErr w:type="spellEnd"/>
      <w:r>
        <w:t xml:space="preserve">, 2006. “In Search of Greener Pastures: An Examination of Insurance Company </w:t>
      </w:r>
      <w:proofErr w:type="spellStart"/>
      <w:r>
        <w:t>Redomestications</w:t>
      </w:r>
      <w:proofErr w:type="spellEnd"/>
      <w:r w:rsidR="00D44C9C">
        <w:t>.</w:t>
      </w:r>
      <w:r>
        <w:t>”</w:t>
      </w:r>
      <w:r w:rsidR="00D44C9C">
        <w:t xml:space="preserve"> Paper p</w:t>
      </w:r>
      <w:r>
        <w:t>resented at the 2006 Annual Meeting of the American Risk and Insurance Association.</w:t>
      </w:r>
    </w:p>
    <w:p w:rsidR="00283F83" w:rsidRDefault="00283F83" w:rsidP="00FA418C">
      <w:pPr>
        <w:ind w:left="720" w:right="1440" w:hanging="720"/>
      </w:pPr>
    </w:p>
    <w:p w:rsidR="0022158C" w:rsidRDefault="00EC5013" w:rsidP="00FA418C">
      <w:pPr>
        <w:ind w:left="720" w:right="1440" w:hanging="720"/>
      </w:pPr>
      <w:proofErr w:type="spellStart"/>
      <w:r>
        <w:t>Neubig</w:t>
      </w:r>
      <w:proofErr w:type="spellEnd"/>
      <w:r>
        <w:t xml:space="preserve">, Thomas S. and Michael </w:t>
      </w:r>
      <w:proofErr w:type="spellStart"/>
      <w:r>
        <w:t>Vlaisavljevich</w:t>
      </w:r>
      <w:proofErr w:type="spellEnd"/>
      <w:r>
        <w:t>. 1992. “Economic Issues in the State Taxation of Insurance Companies</w:t>
      </w:r>
      <w:r w:rsidR="00BA0A54">
        <w:t>,</w:t>
      </w:r>
      <w:r>
        <w:t>”</w:t>
      </w:r>
      <w:r w:rsidR="00985362">
        <w:t xml:space="preserve"> in T</w:t>
      </w:r>
      <w:r w:rsidR="00873720">
        <w:t>h</w:t>
      </w:r>
      <w:r w:rsidR="00985362">
        <w:t>om</w:t>
      </w:r>
      <w:r w:rsidR="00873720">
        <w:t>as F.</w:t>
      </w:r>
      <w:r w:rsidR="00985362">
        <w:t xml:space="preserve"> Pogue (</w:t>
      </w:r>
      <w:r w:rsidR="008C0BA7">
        <w:t>ed.</w:t>
      </w:r>
      <w:r w:rsidR="00985362">
        <w:t xml:space="preserve">), </w:t>
      </w:r>
      <w:r w:rsidR="00985362" w:rsidRPr="00873720">
        <w:rPr>
          <w:i/>
        </w:rPr>
        <w:t>State Taxation of Business</w:t>
      </w:r>
      <w:r w:rsidR="00985362">
        <w:t xml:space="preserve">, </w:t>
      </w:r>
      <w:r w:rsidR="00873720">
        <w:t xml:space="preserve">Westport, CN: </w:t>
      </w:r>
      <w:r w:rsidR="00985362">
        <w:t>Greenwood Press</w:t>
      </w:r>
      <w:r w:rsidR="00873720">
        <w:t>, 217-</w:t>
      </w:r>
      <w:r w:rsidR="00D44C9C">
        <w:t>2</w:t>
      </w:r>
      <w:r w:rsidR="00873720">
        <w:t>42.</w:t>
      </w:r>
    </w:p>
    <w:p w:rsidR="00985362" w:rsidRDefault="00985362" w:rsidP="00FA418C">
      <w:pPr>
        <w:ind w:left="720" w:right="1440" w:hanging="720"/>
      </w:pPr>
    </w:p>
    <w:p w:rsidR="00985362" w:rsidRDefault="00985362" w:rsidP="00FA418C">
      <w:pPr>
        <w:ind w:left="720" w:right="1440" w:hanging="720"/>
      </w:pPr>
      <w:proofErr w:type="spellStart"/>
      <w:r>
        <w:t>Neubig</w:t>
      </w:r>
      <w:proofErr w:type="spellEnd"/>
      <w:r>
        <w:t xml:space="preserve">, Thomas S., </w:t>
      </w:r>
      <w:proofErr w:type="spellStart"/>
      <w:r>
        <w:t>Gautam</w:t>
      </w:r>
      <w:proofErr w:type="spellEnd"/>
      <w:r>
        <w:t xml:space="preserve"> </w:t>
      </w:r>
      <w:proofErr w:type="spellStart"/>
      <w:r>
        <w:t>Jaggi</w:t>
      </w:r>
      <w:proofErr w:type="spellEnd"/>
      <w:r>
        <w:t>, and Kevin Messina. 2002. “Excessive Taxation of Life Insurance Companies in the 50 States</w:t>
      </w:r>
      <w:r w:rsidR="00BA0A54">
        <w:t>,</w:t>
      </w:r>
      <w:r>
        <w:t xml:space="preserve">” </w:t>
      </w:r>
      <w:r w:rsidR="008C0BA7" w:rsidRPr="00094D79">
        <w:rPr>
          <w:i/>
        </w:rPr>
        <w:t>State Tax Notes</w:t>
      </w:r>
      <w:r w:rsidR="008C0BA7">
        <w:t xml:space="preserve"> 25(7): 513-524.</w:t>
      </w:r>
    </w:p>
    <w:p w:rsidR="00BB2215" w:rsidRDefault="00BB2215" w:rsidP="00FA418C">
      <w:pPr>
        <w:ind w:left="720" w:right="1440" w:hanging="720"/>
      </w:pPr>
    </w:p>
    <w:p w:rsidR="00BB2215" w:rsidRDefault="00BB2215" w:rsidP="00FA418C">
      <w:pPr>
        <w:ind w:left="720" w:right="1440" w:hanging="720"/>
      </w:pPr>
      <w:r>
        <w:t xml:space="preserve">National Association of Insurance Commissioners (NAIC), </w:t>
      </w:r>
      <w:r w:rsidR="00311138">
        <w:t xml:space="preserve">various years, </w:t>
      </w:r>
      <w:r w:rsidR="00311138" w:rsidRPr="00735C29">
        <w:rPr>
          <w:i/>
        </w:rPr>
        <w:t xml:space="preserve">Annual Statements, State </w:t>
      </w:r>
      <w:r w:rsidR="00735C29">
        <w:rPr>
          <w:i/>
        </w:rPr>
        <w:t>Page</w:t>
      </w:r>
      <w:r w:rsidR="00311138">
        <w:t>,</w:t>
      </w:r>
      <w:r>
        <w:t xml:space="preserve"> Kansas City</w:t>
      </w:r>
      <w:r w:rsidR="00735C29">
        <w:t>, MO:</w:t>
      </w:r>
      <w:r w:rsidR="00311138" w:rsidRPr="00311138">
        <w:t xml:space="preserve"> </w:t>
      </w:r>
      <w:r w:rsidR="00311138">
        <w:t>N</w:t>
      </w:r>
      <w:r w:rsidR="007D602D">
        <w:t>AI</w:t>
      </w:r>
      <w:r w:rsidR="00311138">
        <w:t>C</w:t>
      </w:r>
      <w:r>
        <w:t>.</w:t>
      </w:r>
    </w:p>
    <w:p w:rsidR="007C6860" w:rsidRDefault="007C6860" w:rsidP="00FA418C">
      <w:pPr>
        <w:ind w:left="720" w:right="1440" w:hanging="720"/>
      </w:pPr>
    </w:p>
    <w:p w:rsidR="007C6860" w:rsidRPr="00BB2215" w:rsidRDefault="007C6860" w:rsidP="00FA418C">
      <w:pPr>
        <w:ind w:left="720" w:right="1440" w:hanging="720"/>
      </w:pPr>
      <w:r>
        <w:t xml:space="preserve">_______. (various years) </w:t>
      </w:r>
      <w:r w:rsidRPr="008934BE">
        <w:rPr>
          <w:bCs/>
          <w:i/>
        </w:rPr>
        <w:t>Retaliation: A Guide to State Retaliatory Taxes, Fees, Deposits and Other Requirement</w:t>
      </w:r>
      <w:r>
        <w:rPr>
          <w:bCs/>
          <w:i/>
        </w:rPr>
        <w:t xml:space="preserve">, </w:t>
      </w:r>
      <w:r>
        <w:t>Kansas City, MO:</w:t>
      </w:r>
      <w:r w:rsidRPr="00311138">
        <w:t xml:space="preserve"> </w:t>
      </w:r>
      <w:r>
        <w:t>NAIC.</w:t>
      </w:r>
    </w:p>
    <w:p w:rsidR="00C664C5" w:rsidRDefault="00C664C5" w:rsidP="00FA418C">
      <w:pPr>
        <w:ind w:left="720" w:right="1440" w:hanging="720"/>
      </w:pPr>
    </w:p>
    <w:p w:rsidR="00583AEA" w:rsidRDefault="00583AEA" w:rsidP="00FA418C">
      <w:pPr>
        <w:ind w:left="720" w:right="1440" w:hanging="720"/>
      </w:pPr>
      <w:proofErr w:type="spellStart"/>
      <w:r>
        <w:t>Papke</w:t>
      </w:r>
      <w:proofErr w:type="spellEnd"/>
      <w:r>
        <w:t xml:space="preserve">, Leslie. 1987. “Subnational Taxation and Capital Mobility: Estimates of Tax-Price </w:t>
      </w:r>
      <w:proofErr w:type="spellStart"/>
      <w:r>
        <w:t>Elasticities</w:t>
      </w:r>
      <w:proofErr w:type="spellEnd"/>
      <w:r w:rsidR="00BA0A54">
        <w:t>,</w:t>
      </w:r>
      <w:r>
        <w:t xml:space="preserve">” </w:t>
      </w:r>
      <w:r w:rsidR="00CC4DBF" w:rsidRPr="00CC4DBF">
        <w:rPr>
          <w:i/>
        </w:rPr>
        <w:t>National Tax Journal</w:t>
      </w:r>
      <w:r>
        <w:t xml:space="preserve"> 40 (2): 191-203.</w:t>
      </w:r>
    </w:p>
    <w:p w:rsidR="00583AEA" w:rsidRDefault="00583AEA" w:rsidP="00FA418C">
      <w:pPr>
        <w:ind w:left="720" w:right="1440" w:hanging="720"/>
      </w:pPr>
    </w:p>
    <w:p w:rsidR="00C664C5" w:rsidRDefault="00C664C5" w:rsidP="00FA418C">
      <w:pPr>
        <w:ind w:left="720" w:right="1440" w:hanging="720"/>
        <w:rPr>
          <w:rStyle w:val="medium-font"/>
        </w:rPr>
      </w:pPr>
      <w:proofErr w:type="spellStart"/>
      <w:r>
        <w:t>Petroni</w:t>
      </w:r>
      <w:proofErr w:type="spellEnd"/>
      <w:r>
        <w:t xml:space="preserve">, </w:t>
      </w:r>
      <w:r>
        <w:rPr>
          <w:rStyle w:val="medium-font"/>
        </w:rPr>
        <w:t xml:space="preserve">Kathy Ruby and </w:t>
      </w:r>
      <w:r w:rsidRPr="00443F3E">
        <w:rPr>
          <w:rStyle w:val="medium-font"/>
        </w:rPr>
        <w:t>Douglas A</w:t>
      </w:r>
      <w:r>
        <w:rPr>
          <w:rStyle w:val="medium-font"/>
        </w:rPr>
        <w:t>.</w:t>
      </w:r>
      <w:r w:rsidRPr="00443F3E">
        <w:rPr>
          <w:rStyle w:val="medium-font"/>
        </w:rPr>
        <w:t xml:space="preserve"> </w:t>
      </w:r>
      <w:r>
        <w:rPr>
          <w:rStyle w:val="medium-font"/>
        </w:rPr>
        <w:t>Shackelford.</w:t>
      </w:r>
      <w:r>
        <w:t xml:space="preserve"> 1995</w:t>
      </w:r>
      <w:bookmarkStart w:id="1" w:name="Result_19"/>
      <w:r>
        <w:t>.</w:t>
      </w:r>
      <w:r w:rsidRPr="00443F3E">
        <w:t xml:space="preserve"> </w:t>
      </w:r>
      <w:r>
        <w:t>“</w:t>
      </w:r>
      <w:r w:rsidRPr="00085F56">
        <w:t>Taxation, Regulation, and the Organizational Structure of Property-Casualty Insurers</w:t>
      </w:r>
      <w:bookmarkEnd w:id="1"/>
      <w:r w:rsidR="00BA0A54">
        <w:t>,</w:t>
      </w:r>
      <w:r>
        <w:t>”</w:t>
      </w:r>
      <w:r>
        <w:rPr>
          <w:rStyle w:val="medium-font"/>
        </w:rPr>
        <w:t xml:space="preserve"> </w:t>
      </w:r>
      <w:r w:rsidRPr="00443F3E">
        <w:rPr>
          <w:rStyle w:val="medium-font"/>
          <w:i/>
        </w:rPr>
        <w:t>Journal of Accounting and Economics</w:t>
      </w:r>
      <w:r>
        <w:rPr>
          <w:rStyle w:val="medium-font"/>
        </w:rPr>
        <w:t xml:space="preserve"> 20 (3): 229-</w:t>
      </w:r>
      <w:r w:rsidR="00D44C9C">
        <w:rPr>
          <w:rStyle w:val="medium-font"/>
        </w:rPr>
        <w:t>2</w:t>
      </w:r>
      <w:r>
        <w:rPr>
          <w:rStyle w:val="medium-font"/>
        </w:rPr>
        <w:t>53.</w:t>
      </w:r>
    </w:p>
    <w:p w:rsidR="001D4452" w:rsidRDefault="001D4452" w:rsidP="00FA418C">
      <w:pPr>
        <w:ind w:left="720" w:right="1440" w:hanging="720"/>
        <w:rPr>
          <w:rStyle w:val="medium-font"/>
        </w:rPr>
      </w:pPr>
    </w:p>
    <w:p w:rsidR="001D4452" w:rsidRDefault="001D4452" w:rsidP="00FA418C">
      <w:pPr>
        <w:ind w:left="720" w:right="1440" w:hanging="720"/>
        <w:rPr>
          <w:rStyle w:val="medium-font"/>
        </w:rPr>
      </w:pPr>
      <w:bookmarkStart w:id="2" w:name="Result_5"/>
      <w:r w:rsidRPr="001D4452">
        <w:rPr>
          <w:rStyle w:val="Strong"/>
          <w:b w:val="0"/>
          <w:iCs/>
        </w:rPr>
        <w:t>Phillips</w:t>
      </w:r>
      <w:r>
        <w:rPr>
          <w:rStyle w:val="medium-font"/>
        </w:rPr>
        <w:t>, Joseph M and</w:t>
      </w:r>
      <w:r w:rsidRPr="001D4452">
        <w:rPr>
          <w:rStyle w:val="title-link-wrapper"/>
        </w:rPr>
        <w:t xml:space="preserve"> </w:t>
      </w:r>
      <w:r>
        <w:rPr>
          <w:rStyle w:val="medium-font"/>
        </w:rPr>
        <w:t xml:space="preserve">Ernest P. </w:t>
      </w:r>
      <w:r w:rsidRPr="001D4452">
        <w:rPr>
          <w:rStyle w:val="Strong"/>
          <w:b w:val="0"/>
          <w:iCs/>
        </w:rPr>
        <w:t>Goss</w:t>
      </w:r>
      <w:r>
        <w:rPr>
          <w:rStyle w:val="medium-font"/>
        </w:rPr>
        <w:t>. 1995. “</w:t>
      </w:r>
      <w:r w:rsidRPr="001D4452">
        <w:rPr>
          <w:rStyle w:val="title-link-wrapper"/>
        </w:rPr>
        <w:t>The Effect of State and Local Taxes on Economic Development: A Meta-Analysis</w:t>
      </w:r>
      <w:bookmarkEnd w:id="2"/>
      <w:r>
        <w:rPr>
          <w:rStyle w:val="hidden"/>
        </w:rPr>
        <w:t xml:space="preserve">,” </w:t>
      </w:r>
      <w:r w:rsidRPr="001D4452">
        <w:rPr>
          <w:rStyle w:val="medium-font"/>
          <w:i/>
        </w:rPr>
        <w:t>Southern Economic Journal</w:t>
      </w:r>
      <w:r>
        <w:rPr>
          <w:rStyle w:val="medium-font"/>
        </w:rPr>
        <w:t xml:space="preserve"> 62 (2): 320-</w:t>
      </w:r>
      <w:r w:rsidR="00D44C9C">
        <w:rPr>
          <w:rStyle w:val="medium-font"/>
        </w:rPr>
        <w:t>3</w:t>
      </w:r>
      <w:r>
        <w:rPr>
          <w:rStyle w:val="medium-font"/>
        </w:rPr>
        <w:t>33.</w:t>
      </w:r>
    </w:p>
    <w:p w:rsidR="004C7F10" w:rsidRDefault="004C7F10" w:rsidP="003F3B8C">
      <w:pPr>
        <w:ind w:left="720" w:right="1440" w:hanging="720"/>
        <w:rPr>
          <w:rStyle w:val="medium-font"/>
        </w:rPr>
      </w:pPr>
    </w:p>
    <w:p w:rsidR="004C7F10" w:rsidRDefault="004C7F10" w:rsidP="003F3B8C">
      <w:pPr>
        <w:ind w:left="720" w:right="1440" w:hanging="720"/>
      </w:pPr>
      <w:proofErr w:type="spellStart"/>
      <w:r>
        <w:t>Plümper</w:t>
      </w:r>
      <w:proofErr w:type="spellEnd"/>
      <w:r>
        <w:t xml:space="preserve">, Thomas and Vera E. </w:t>
      </w:r>
      <w:proofErr w:type="spellStart"/>
      <w:r>
        <w:t>Troeger</w:t>
      </w:r>
      <w:proofErr w:type="spellEnd"/>
      <w:r>
        <w:t xml:space="preserve"> (2007). “Efficient Estimation of Time-Invariant and Rarely Changing Variables in Finite Sample Panel Analyses with Unit Fixed Effects.” </w:t>
      </w:r>
      <w:r w:rsidRPr="00EA37E6">
        <w:rPr>
          <w:i/>
        </w:rPr>
        <w:t>Political Analysis</w:t>
      </w:r>
      <w:r>
        <w:t xml:space="preserve"> 15: 124-139. </w:t>
      </w:r>
    </w:p>
    <w:p w:rsidR="001B5C11" w:rsidRDefault="001B5C11" w:rsidP="00FA418C">
      <w:pPr>
        <w:spacing w:before="240" w:after="240"/>
        <w:ind w:left="720" w:right="1440" w:hanging="720"/>
      </w:pPr>
      <w:r>
        <w:t xml:space="preserve">Reed, W. Robert. 2006. “Democrats, Republicans, and Taxes: Evidence That Political Parties Matter.” </w:t>
      </w:r>
      <w:r w:rsidRPr="009D35EA">
        <w:rPr>
          <w:i/>
        </w:rPr>
        <w:t>Journal of Public Economics</w:t>
      </w:r>
      <w:r>
        <w:t xml:space="preserve"> 90: 725-750.</w:t>
      </w:r>
    </w:p>
    <w:p w:rsidR="00F47C39" w:rsidRDefault="00023749" w:rsidP="00FA418C">
      <w:pPr>
        <w:pStyle w:val="HTMLPreformatted"/>
        <w:ind w:left="720" w:right="1440" w:hanging="720"/>
        <w:rPr>
          <w:rFonts w:ascii="Times New Roman" w:hAnsi="Times New Roman" w:cs="Times New Roman"/>
          <w:color w:val="000000"/>
          <w:sz w:val="24"/>
          <w:szCs w:val="24"/>
        </w:rPr>
      </w:pPr>
      <w:r w:rsidRPr="00023749">
        <w:rPr>
          <w:rFonts w:ascii="Times New Roman" w:hAnsi="Times New Roman" w:cs="Times New Roman"/>
          <w:color w:val="000000"/>
          <w:sz w:val="24"/>
          <w:szCs w:val="24"/>
        </w:rPr>
        <w:t>Schaffer, Mark E, 2005</w:t>
      </w:r>
      <w:r w:rsidR="00BA0A54">
        <w:rPr>
          <w:rFonts w:ascii="Times New Roman" w:hAnsi="Times New Roman" w:cs="Times New Roman"/>
          <w:color w:val="000000"/>
          <w:sz w:val="24"/>
          <w:szCs w:val="24"/>
        </w:rPr>
        <w:t>.</w:t>
      </w:r>
      <w:r w:rsidRPr="00023749">
        <w:rPr>
          <w:rFonts w:ascii="Times New Roman" w:hAnsi="Times New Roman" w:cs="Times New Roman"/>
          <w:color w:val="000000"/>
          <w:sz w:val="24"/>
          <w:szCs w:val="24"/>
        </w:rPr>
        <w:t xml:space="preserve"> </w:t>
      </w:r>
      <w:r w:rsidR="00BA0A54">
        <w:rPr>
          <w:rFonts w:ascii="Times New Roman" w:hAnsi="Times New Roman" w:cs="Times New Roman"/>
          <w:color w:val="000000"/>
          <w:sz w:val="24"/>
          <w:szCs w:val="24"/>
        </w:rPr>
        <w:t>“</w:t>
      </w:r>
      <w:r w:rsidRPr="00023749">
        <w:rPr>
          <w:rFonts w:ascii="Times New Roman" w:hAnsi="Times New Roman" w:cs="Times New Roman"/>
          <w:color w:val="000000"/>
          <w:sz w:val="24"/>
          <w:szCs w:val="24"/>
        </w:rPr>
        <w:t xml:space="preserve">XTIVREG2: </w:t>
      </w:r>
      <w:proofErr w:type="spellStart"/>
      <w:r w:rsidRPr="00023749">
        <w:rPr>
          <w:rFonts w:ascii="Times New Roman" w:hAnsi="Times New Roman" w:cs="Times New Roman"/>
          <w:color w:val="000000"/>
          <w:sz w:val="24"/>
          <w:szCs w:val="24"/>
        </w:rPr>
        <w:t>Stata</w:t>
      </w:r>
      <w:proofErr w:type="spellEnd"/>
      <w:r w:rsidRPr="00023749">
        <w:rPr>
          <w:rFonts w:ascii="Times New Roman" w:hAnsi="Times New Roman" w:cs="Times New Roman"/>
          <w:color w:val="000000"/>
          <w:sz w:val="24"/>
          <w:szCs w:val="24"/>
        </w:rPr>
        <w:t xml:space="preserve"> module to perform extended IV/2SLS, GMM and AC/HAC, LIML and k-class regression for panel data models</w:t>
      </w:r>
      <w:r w:rsidR="00BA0A54" w:rsidRPr="00023749">
        <w:rPr>
          <w:rFonts w:ascii="Times New Roman" w:hAnsi="Times New Roman" w:cs="Times New Roman"/>
          <w:color w:val="000000"/>
          <w:sz w:val="24"/>
          <w:szCs w:val="24"/>
        </w:rPr>
        <w:t>,</w:t>
      </w:r>
      <w:r w:rsidR="00BA0A54">
        <w:rPr>
          <w:rFonts w:ascii="Times New Roman" w:hAnsi="Times New Roman" w:cs="Times New Roman"/>
          <w:color w:val="000000"/>
          <w:sz w:val="24"/>
          <w:szCs w:val="24"/>
        </w:rPr>
        <w:t xml:space="preserve">” </w:t>
      </w:r>
      <w:r w:rsidRPr="00023749">
        <w:rPr>
          <w:rFonts w:ascii="Times New Roman" w:hAnsi="Times New Roman" w:cs="Times New Roman"/>
          <w:color w:val="000000"/>
          <w:sz w:val="24"/>
          <w:szCs w:val="24"/>
        </w:rPr>
        <w:t>Statistical Software Components S456501, Boston College Department of Economics, revised 17 Mar 2010.</w:t>
      </w:r>
    </w:p>
    <w:p w:rsidR="00C664C5" w:rsidRPr="00533327" w:rsidRDefault="00C664C5" w:rsidP="00FA418C">
      <w:pPr>
        <w:ind w:left="720" w:right="1440" w:hanging="720"/>
        <w:rPr>
          <w:rStyle w:val="medium-font"/>
        </w:rPr>
      </w:pPr>
    </w:p>
    <w:p w:rsidR="00C664C5" w:rsidRDefault="00F12DD1" w:rsidP="00FA418C">
      <w:pPr>
        <w:ind w:left="720" w:right="1440" w:hanging="720"/>
      </w:pPr>
      <w:proofErr w:type="spellStart"/>
      <w:r>
        <w:lastRenderedPageBreak/>
        <w:t>Wasylenko</w:t>
      </w:r>
      <w:proofErr w:type="spellEnd"/>
      <w:r>
        <w:t>, Michael</w:t>
      </w:r>
      <w:r w:rsidR="00443F3E">
        <w:t>.</w:t>
      </w:r>
      <w:r>
        <w:t>1997</w:t>
      </w:r>
      <w:r w:rsidR="00443F3E">
        <w:t>. “Taxation and Economic Development: The State of the Economics Literature</w:t>
      </w:r>
      <w:r w:rsidR="00BA0A54">
        <w:t>,</w:t>
      </w:r>
      <w:r w:rsidR="00443F3E">
        <w:t xml:space="preserve">” </w:t>
      </w:r>
      <w:r w:rsidR="00443F3E" w:rsidRPr="00443F3E">
        <w:rPr>
          <w:i/>
        </w:rPr>
        <w:t>New England Economic Review</w:t>
      </w:r>
      <w:r w:rsidR="00C664C5">
        <w:t xml:space="preserve"> March/April: 37-52.</w:t>
      </w:r>
    </w:p>
    <w:p w:rsidR="00C664C5" w:rsidRDefault="00C664C5" w:rsidP="00FA418C">
      <w:pPr>
        <w:ind w:left="720" w:right="1440" w:hanging="720"/>
      </w:pPr>
    </w:p>
    <w:p w:rsidR="00F12DD1" w:rsidRDefault="00F12DD1" w:rsidP="00FA418C">
      <w:pPr>
        <w:ind w:left="720" w:right="1440" w:hanging="720"/>
      </w:pPr>
      <w:r>
        <w:t>Wheaton, William</w:t>
      </w:r>
      <w:r w:rsidR="00F9271A">
        <w:t xml:space="preserve"> C.</w:t>
      </w:r>
      <w:r>
        <w:t xml:space="preserve"> 1986</w:t>
      </w:r>
      <w:r w:rsidR="00F9271A">
        <w:t>. “The Impact of State Taxation on Life Insurance Company Growth</w:t>
      </w:r>
      <w:r w:rsidR="00BA0A54">
        <w:t>,</w:t>
      </w:r>
      <w:r w:rsidR="00F9271A">
        <w:t xml:space="preserve">” </w:t>
      </w:r>
      <w:r w:rsidR="00F9271A" w:rsidRPr="00F9271A">
        <w:rPr>
          <w:i/>
        </w:rPr>
        <w:t xml:space="preserve">National Tax Journal </w:t>
      </w:r>
      <w:r w:rsidR="00F9271A">
        <w:t>39(1): 85-95.</w:t>
      </w:r>
    </w:p>
    <w:p w:rsidR="004C7F10" w:rsidRDefault="004C7F10" w:rsidP="004C7F10"/>
    <w:p w:rsidR="004C7F10" w:rsidRDefault="004C7F10" w:rsidP="003F3B8C">
      <w:pPr>
        <w:ind w:left="720" w:right="1440" w:hanging="720"/>
      </w:pPr>
      <w:r>
        <w:t>Wooldridge, Jeffrey M.</w:t>
      </w:r>
      <w:r>
        <w:rPr>
          <w:rStyle w:val="pagetitle"/>
        </w:rPr>
        <w:t xml:space="preserve"> (2001). </w:t>
      </w:r>
      <w:r w:rsidRPr="00DD3E7A">
        <w:rPr>
          <w:rStyle w:val="pagetitle"/>
          <w:i/>
        </w:rPr>
        <w:t xml:space="preserve">Econometric Analysis of Cross Section and Panel Data. </w:t>
      </w:r>
      <w:r>
        <w:rPr>
          <w:rStyle w:val="pagetitle"/>
        </w:rPr>
        <w:t>Cambridge, MA: MIT Press.</w:t>
      </w:r>
    </w:p>
    <w:p w:rsidR="00F12DD1" w:rsidRDefault="00F12DD1" w:rsidP="00FA418C">
      <w:pPr>
        <w:ind w:left="720" w:right="1440"/>
      </w:pPr>
    </w:p>
    <w:p w:rsidR="00E16DBD" w:rsidRDefault="00E16DBD" w:rsidP="00E16DBD">
      <w:pPr>
        <w:ind w:left="720" w:right="1440" w:hanging="720"/>
      </w:pPr>
      <w:r>
        <w:t>Wooldridge, Jeffrey M.</w:t>
      </w:r>
      <w:r>
        <w:rPr>
          <w:rStyle w:val="pagetitle"/>
        </w:rPr>
        <w:t xml:space="preserve"> (2009). </w:t>
      </w:r>
      <w:r>
        <w:rPr>
          <w:rStyle w:val="pagetitle"/>
          <w:i/>
        </w:rPr>
        <w:t>Introductory E</w:t>
      </w:r>
      <w:r w:rsidRPr="00DD3E7A">
        <w:rPr>
          <w:rStyle w:val="pagetitle"/>
          <w:i/>
        </w:rPr>
        <w:t>conometric</w:t>
      </w:r>
      <w:r>
        <w:rPr>
          <w:rStyle w:val="pagetitle"/>
          <w:i/>
        </w:rPr>
        <w:t>: A Modern Approach</w:t>
      </w:r>
      <w:r w:rsidRPr="00DD3E7A">
        <w:rPr>
          <w:rStyle w:val="pagetitle"/>
          <w:i/>
        </w:rPr>
        <w:t xml:space="preserve">. </w:t>
      </w:r>
      <w:r>
        <w:rPr>
          <w:rStyle w:val="pagetitle"/>
        </w:rPr>
        <w:t xml:space="preserve">Mason, Ohio: South-Western </w:t>
      </w:r>
      <w:proofErr w:type="spellStart"/>
      <w:r>
        <w:rPr>
          <w:rStyle w:val="pagetitle"/>
        </w:rPr>
        <w:t>Cengage</w:t>
      </w:r>
      <w:proofErr w:type="spellEnd"/>
      <w:r>
        <w:rPr>
          <w:rStyle w:val="pagetitle"/>
        </w:rPr>
        <w:t xml:space="preserve"> Learning.</w:t>
      </w:r>
    </w:p>
    <w:p w:rsidR="00C86F27" w:rsidRDefault="00C86F27" w:rsidP="008934BE">
      <w:pPr>
        <w:rPr>
          <w:b/>
        </w:rPr>
      </w:pPr>
      <w:r>
        <w:rPr>
          <w:b/>
        </w:rPr>
        <w:br w:type="page"/>
      </w:r>
    </w:p>
    <w:tbl>
      <w:tblPr>
        <w:tblW w:w="9480" w:type="dxa"/>
        <w:tblInd w:w="78" w:type="dxa"/>
        <w:tblLayout w:type="fixed"/>
        <w:tblLook w:val="0000" w:firstRow="0" w:lastRow="0" w:firstColumn="0" w:lastColumn="0" w:noHBand="0" w:noVBand="0"/>
      </w:tblPr>
      <w:tblGrid>
        <w:gridCol w:w="5250"/>
        <w:gridCol w:w="1260"/>
        <w:gridCol w:w="630"/>
        <w:gridCol w:w="1170"/>
        <w:gridCol w:w="1170"/>
      </w:tblGrid>
      <w:tr w:rsidR="006322C0" w:rsidTr="006322C0">
        <w:trPr>
          <w:trHeight w:val="432"/>
        </w:trPr>
        <w:tc>
          <w:tcPr>
            <w:tcW w:w="5250" w:type="dxa"/>
            <w:tcBorders>
              <w:top w:val="single" w:sz="4" w:space="0" w:color="auto"/>
              <w:left w:val="nil"/>
              <w:right w:val="nil"/>
            </w:tcBorders>
          </w:tcPr>
          <w:p w:rsidR="006322C0" w:rsidRDefault="006322C0">
            <w:pPr>
              <w:autoSpaceDE w:val="0"/>
              <w:autoSpaceDN w:val="0"/>
              <w:adjustRightInd w:val="0"/>
              <w:rPr>
                <w:b/>
                <w:bCs/>
                <w:color w:val="000000"/>
                <w:sz w:val="22"/>
                <w:szCs w:val="22"/>
              </w:rPr>
            </w:pPr>
            <w:bookmarkStart w:id="3" w:name="_MON_1388831359"/>
            <w:bookmarkStart w:id="4" w:name="_MON_1388831267"/>
            <w:bookmarkEnd w:id="3"/>
            <w:bookmarkEnd w:id="4"/>
            <w:r>
              <w:rPr>
                <w:b/>
                <w:bCs/>
                <w:color w:val="000000"/>
                <w:sz w:val="22"/>
                <w:szCs w:val="22"/>
              </w:rPr>
              <w:lastRenderedPageBreak/>
              <w:t>Table 1. Descriptive Statistics</w:t>
            </w:r>
          </w:p>
        </w:tc>
        <w:tc>
          <w:tcPr>
            <w:tcW w:w="1260" w:type="dxa"/>
            <w:tcBorders>
              <w:top w:val="single" w:sz="4" w:space="0" w:color="auto"/>
              <w:left w:val="nil"/>
              <w:right w:val="nil"/>
            </w:tcBorders>
          </w:tcPr>
          <w:p w:rsidR="006322C0" w:rsidRDefault="006322C0">
            <w:pPr>
              <w:autoSpaceDE w:val="0"/>
              <w:autoSpaceDN w:val="0"/>
              <w:adjustRightInd w:val="0"/>
              <w:jc w:val="right"/>
              <w:rPr>
                <w:color w:val="000000"/>
                <w:sz w:val="22"/>
                <w:szCs w:val="22"/>
              </w:rPr>
            </w:pPr>
          </w:p>
        </w:tc>
        <w:tc>
          <w:tcPr>
            <w:tcW w:w="630" w:type="dxa"/>
            <w:tcBorders>
              <w:top w:val="single" w:sz="4" w:space="0" w:color="auto"/>
              <w:left w:val="nil"/>
              <w:right w:val="nil"/>
            </w:tcBorders>
          </w:tcPr>
          <w:p w:rsidR="006322C0" w:rsidRDefault="006322C0">
            <w:pPr>
              <w:autoSpaceDE w:val="0"/>
              <w:autoSpaceDN w:val="0"/>
              <w:adjustRightInd w:val="0"/>
              <w:jc w:val="right"/>
              <w:rPr>
                <w:color w:val="000000"/>
                <w:sz w:val="22"/>
                <w:szCs w:val="22"/>
              </w:rPr>
            </w:pPr>
          </w:p>
        </w:tc>
        <w:tc>
          <w:tcPr>
            <w:tcW w:w="1170" w:type="dxa"/>
            <w:tcBorders>
              <w:top w:val="single" w:sz="4" w:space="0" w:color="auto"/>
              <w:left w:val="nil"/>
              <w:right w:val="nil"/>
            </w:tcBorders>
          </w:tcPr>
          <w:p w:rsidR="006322C0" w:rsidRDefault="006322C0">
            <w:pPr>
              <w:autoSpaceDE w:val="0"/>
              <w:autoSpaceDN w:val="0"/>
              <w:adjustRightInd w:val="0"/>
              <w:jc w:val="right"/>
              <w:rPr>
                <w:color w:val="000000"/>
                <w:sz w:val="22"/>
                <w:szCs w:val="22"/>
              </w:rPr>
            </w:pPr>
          </w:p>
        </w:tc>
        <w:tc>
          <w:tcPr>
            <w:tcW w:w="1170" w:type="dxa"/>
            <w:tcBorders>
              <w:top w:val="single" w:sz="4" w:space="0" w:color="auto"/>
              <w:left w:val="nil"/>
              <w:right w:val="nil"/>
            </w:tcBorders>
          </w:tcPr>
          <w:p w:rsidR="006322C0" w:rsidRDefault="006322C0">
            <w:pPr>
              <w:autoSpaceDE w:val="0"/>
              <w:autoSpaceDN w:val="0"/>
              <w:adjustRightInd w:val="0"/>
              <w:jc w:val="right"/>
              <w:rPr>
                <w:color w:val="000000"/>
                <w:sz w:val="22"/>
                <w:szCs w:val="22"/>
              </w:rPr>
            </w:pPr>
          </w:p>
        </w:tc>
      </w:tr>
      <w:tr w:rsidR="006322C0" w:rsidTr="006322C0">
        <w:trPr>
          <w:trHeight w:val="432"/>
        </w:trPr>
        <w:tc>
          <w:tcPr>
            <w:tcW w:w="5250" w:type="dxa"/>
            <w:tcBorders>
              <w:left w:val="nil"/>
              <w:bottom w:val="single" w:sz="6" w:space="0" w:color="auto"/>
              <w:right w:val="nil"/>
            </w:tcBorders>
          </w:tcPr>
          <w:p w:rsidR="006322C0" w:rsidRPr="00470CF5" w:rsidRDefault="006322C0" w:rsidP="00470CF5">
            <w:pPr>
              <w:autoSpaceDE w:val="0"/>
              <w:autoSpaceDN w:val="0"/>
              <w:adjustRightInd w:val="0"/>
              <w:rPr>
                <w:b/>
                <w:color w:val="000000"/>
                <w:sz w:val="22"/>
                <w:szCs w:val="22"/>
              </w:rPr>
            </w:pPr>
            <w:r w:rsidRPr="00470CF5">
              <w:rPr>
                <w:b/>
                <w:color w:val="000000"/>
                <w:sz w:val="22"/>
                <w:szCs w:val="22"/>
              </w:rPr>
              <w:t>Variable Description</w:t>
            </w:r>
          </w:p>
        </w:tc>
        <w:tc>
          <w:tcPr>
            <w:tcW w:w="1260" w:type="dxa"/>
            <w:tcBorders>
              <w:left w:val="nil"/>
              <w:bottom w:val="single" w:sz="6" w:space="0" w:color="auto"/>
              <w:right w:val="nil"/>
            </w:tcBorders>
          </w:tcPr>
          <w:p w:rsidR="006322C0" w:rsidRPr="00470CF5" w:rsidRDefault="006322C0">
            <w:pPr>
              <w:autoSpaceDE w:val="0"/>
              <w:autoSpaceDN w:val="0"/>
              <w:adjustRightInd w:val="0"/>
              <w:jc w:val="center"/>
              <w:rPr>
                <w:b/>
                <w:color w:val="000000"/>
                <w:sz w:val="22"/>
                <w:szCs w:val="22"/>
              </w:rPr>
            </w:pPr>
            <w:r w:rsidRPr="00470CF5">
              <w:rPr>
                <w:b/>
                <w:color w:val="000000"/>
                <w:sz w:val="22"/>
                <w:szCs w:val="22"/>
              </w:rPr>
              <w:t>Name</w:t>
            </w:r>
          </w:p>
        </w:tc>
        <w:tc>
          <w:tcPr>
            <w:tcW w:w="630" w:type="dxa"/>
            <w:tcBorders>
              <w:left w:val="nil"/>
              <w:bottom w:val="single" w:sz="6" w:space="0" w:color="auto"/>
              <w:right w:val="nil"/>
            </w:tcBorders>
          </w:tcPr>
          <w:p w:rsidR="006322C0" w:rsidRPr="00470CF5" w:rsidRDefault="006322C0">
            <w:pPr>
              <w:autoSpaceDE w:val="0"/>
              <w:autoSpaceDN w:val="0"/>
              <w:adjustRightInd w:val="0"/>
              <w:jc w:val="center"/>
              <w:rPr>
                <w:b/>
                <w:color w:val="000000"/>
                <w:sz w:val="22"/>
                <w:szCs w:val="22"/>
              </w:rPr>
            </w:pPr>
            <w:r w:rsidRPr="00470CF5">
              <w:rPr>
                <w:b/>
                <w:color w:val="000000"/>
                <w:sz w:val="22"/>
                <w:szCs w:val="22"/>
              </w:rPr>
              <w:t>N</w:t>
            </w:r>
          </w:p>
        </w:tc>
        <w:tc>
          <w:tcPr>
            <w:tcW w:w="1170" w:type="dxa"/>
            <w:tcBorders>
              <w:left w:val="nil"/>
              <w:bottom w:val="single" w:sz="6" w:space="0" w:color="auto"/>
              <w:right w:val="nil"/>
            </w:tcBorders>
          </w:tcPr>
          <w:p w:rsidR="006322C0" w:rsidRPr="00470CF5" w:rsidRDefault="006322C0">
            <w:pPr>
              <w:autoSpaceDE w:val="0"/>
              <w:autoSpaceDN w:val="0"/>
              <w:adjustRightInd w:val="0"/>
              <w:jc w:val="center"/>
              <w:rPr>
                <w:b/>
                <w:color w:val="000000"/>
                <w:sz w:val="22"/>
                <w:szCs w:val="22"/>
              </w:rPr>
            </w:pPr>
            <w:r w:rsidRPr="00470CF5">
              <w:rPr>
                <w:b/>
                <w:color w:val="000000"/>
                <w:sz w:val="22"/>
                <w:szCs w:val="22"/>
              </w:rPr>
              <w:t>Mean</w:t>
            </w:r>
          </w:p>
        </w:tc>
        <w:tc>
          <w:tcPr>
            <w:tcW w:w="1170" w:type="dxa"/>
            <w:tcBorders>
              <w:left w:val="nil"/>
              <w:bottom w:val="single" w:sz="6" w:space="0" w:color="auto"/>
              <w:right w:val="nil"/>
            </w:tcBorders>
          </w:tcPr>
          <w:p w:rsidR="006322C0" w:rsidRPr="00470CF5" w:rsidRDefault="006322C0">
            <w:pPr>
              <w:autoSpaceDE w:val="0"/>
              <w:autoSpaceDN w:val="0"/>
              <w:adjustRightInd w:val="0"/>
              <w:jc w:val="center"/>
              <w:rPr>
                <w:b/>
                <w:color w:val="000000"/>
                <w:sz w:val="22"/>
                <w:szCs w:val="22"/>
              </w:rPr>
            </w:pPr>
            <w:proofErr w:type="spellStart"/>
            <w:r w:rsidRPr="00470CF5">
              <w:rPr>
                <w:b/>
                <w:color w:val="000000"/>
                <w:sz w:val="22"/>
                <w:szCs w:val="22"/>
              </w:rPr>
              <w:t>Std</w:t>
            </w:r>
            <w:proofErr w:type="spellEnd"/>
            <w:r w:rsidRPr="00470CF5">
              <w:rPr>
                <w:b/>
                <w:color w:val="000000"/>
                <w:sz w:val="22"/>
                <w:szCs w:val="22"/>
              </w:rPr>
              <w:t xml:space="preserve"> </w:t>
            </w:r>
            <w:proofErr w:type="spellStart"/>
            <w:r w:rsidRPr="00470CF5">
              <w:rPr>
                <w:b/>
                <w:color w:val="000000"/>
                <w:sz w:val="22"/>
                <w:szCs w:val="22"/>
              </w:rPr>
              <w:t>Dev</w:t>
            </w:r>
            <w:proofErr w:type="spellEnd"/>
          </w:p>
        </w:tc>
      </w:tr>
      <w:tr w:rsidR="006322C0" w:rsidTr="006322C0">
        <w:trPr>
          <w:trHeight w:val="432"/>
        </w:trPr>
        <w:tc>
          <w:tcPr>
            <w:tcW w:w="5250" w:type="dxa"/>
            <w:tcBorders>
              <w:top w:val="nil"/>
              <w:left w:val="nil"/>
              <w:bottom w:val="nil"/>
              <w:right w:val="nil"/>
            </w:tcBorders>
          </w:tcPr>
          <w:p w:rsidR="006322C0" w:rsidRDefault="006322C0" w:rsidP="00442A55">
            <w:pPr>
              <w:autoSpaceDE w:val="0"/>
              <w:autoSpaceDN w:val="0"/>
              <w:adjustRightInd w:val="0"/>
              <w:rPr>
                <w:color w:val="000000"/>
                <w:sz w:val="22"/>
                <w:szCs w:val="22"/>
              </w:rPr>
            </w:pPr>
            <w:r>
              <w:rPr>
                <w:color w:val="000000"/>
                <w:sz w:val="22"/>
                <w:szCs w:val="22"/>
              </w:rPr>
              <w:t>Property Casualty Industry Employment (in 000s)</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Emp</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 xml:space="preserve">9.70 </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11.017</w:t>
            </w:r>
          </w:p>
        </w:tc>
      </w:tr>
      <w:tr w:rsidR="006322C0" w:rsidTr="006322C0">
        <w:trPr>
          <w:trHeight w:val="432"/>
        </w:trPr>
        <w:tc>
          <w:tcPr>
            <w:tcW w:w="5250" w:type="dxa"/>
            <w:tcBorders>
              <w:top w:val="nil"/>
              <w:left w:val="nil"/>
              <w:bottom w:val="nil"/>
              <w:right w:val="nil"/>
            </w:tcBorders>
          </w:tcPr>
          <w:p w:rsidR="006322C0" w:rsidRDefault="006322C0" w:rsidP="006322C0">
            <w:pPr>
              <w:autoSpaceDE w:val="0"/>
              <w:autoSpaceDN w:val="0"/>
              <w:adjustRightInd w:val="0"/>
              <w:rPr>
                <w:color w:val="000000"/>
                <w:sz w:val="22"/>
                <w:szCs w:val="22"/>
              </w:rPr>
            </w:pPr>
            <w:r>
              <w:rPr>
                <w:color w:val="000000"/>
                <w:sz w:val="22"/>
                <w:szCs w:val="22"/>
              </w:rPr>
              <w:t>Statutory Foreign Tax Rate</w:t>
            </w:r>
          </w:p>
        </w:tc>
        <w:tc>
          <w:tcPr>
            <w:tcW w:w="1260" w:type="dxa"/>
            <w:tcBorders>
              <w:top w:val="nil"/>
              <w:left w:val="nil"/>
              <w:bottom w:val="nil"/>
              <w:right w:val="nil"/>
            </w:tcBorders>
          </w:tcPr>
          <w:p w:rsidR="006322C0" w:rsidRDefault="006322C0" w:rsidP="001A3928">
            <w:pPr>
              <w:autoSpaceDE w:val="0"/>
              <w:autoSpaceDN w:val="0"/>
              <w:adjustRightInd w:val="0"/>
              <w:jc w:val="center"/>
              <w:rPr>
                <w:i/>
                <w:iCs/>
                <w:color w:val="000000"/>
                <w:sz w:val="22"/>
                <w:szCs w:val="22"/>
              </w:rPr>
            </w:pPr>
            <w:proofErr w:type="spellStart"/>
            <w:r>
              <w:rPr>
                <w:i/>
                <w:iCs/>
                <w:color w:val="000000"/>
                <w:sz w:val="22"/>
                <w:szCs w:val="22"/>
              </w:rPr>
              <w:t>FRate</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D1D1E" w:rsidP="006D1D1E">
            <w:pPr>
              <w:autoSpaceDE w:val="0"/>
              <w:autoSpaceDN w:val="0"/>
              <w:adjustRightInd w:val="0"/>
              <w:jc w:val="right"/>
              <w:rPr>
                <w:color w:val="000000"/>
                <w:sz w:val="22"/>
                <w:szCs w:val="22"/>
              </w:rPr>
            </w:pPr>
            <w:r>
              <w:rPr>
                <w:color w:val="000000"/>
                <w:sz w:val="22"/>
                <w:szCs w:val="22"/>
              </w:rPr>
              <w:t>.0</w:t>
            </w:r>
            <w:r w:rsidR="006322C0">
              <w:rPr>
                <w:color w:val="000000"/>
                <w:sz w:val="22"/>
                <w:szCs w:val="22"/>
              </w:rPr>
              <w:t>228</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0.008</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Effective Domestic Rate</w:t>
            </w:r>
          </w:p>
        </w:tc>
        <w:tc>
          <w:tcPr>
            <w:tcW w:w="1260" w:type="dxa"/>
            <w:tcBorders>
              <w:top w:val="nil"/>
              <w:left w:val="nil"/>
              <w:bottom w:val="nil"/>
              <w:right w:val="nil"/>
            </w:tcBorders>
          </w:tcPr>
          <w:p w:rsidR="006322C0" w:rsidRDefault="006322C0" w:rsidP="00BA6997">
            <w:pPr>
              <w:autoSpaceDE w:val="0"/>
              <w:autoSpaceDN w:val="0"/>
              <w:adjustRightInd w:val="0"/>
              <w:jc w:val="center"/>
              <w:rPr>
                <w:i/>
                <w:iCs/>
                <w:color w:val="000000"/>
                <w:sz w:val="22"/>
                <w:szCs w:val="22"/>
              </w:rPr>
            </w:pPr>
            <w:proofErr w:type="spellStart"/>
            <w:r>
              <w:rPr>
                <w:i/>
                <w:iCs/>
                <w:color w:val="000000"/>
                <w:sz w:val="22"/>
                <w:szCs w:val="22"/>
              </w:rPr>
              <w:t>DRate</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D1D1E" w:rsidP="006D1D1E">
            <w:pPr>
              <w:autoSpaceDE w:val="0"/>
              <w:autoSpaceDN w:val="0"/>
              <w:adjustRightInd w:val="0"/>
              <w:jc w:val="right"/>
              <w:rPr>
                <w:color w:val="000000"/>
                <w:sz w:val="22"/>
                <w:szCs w:val="22"/>
              </w:rPr>
            </w:pPr>
            <w:r>
              <w:rPr>
                <w:color w:val="000000"/>
                <w:sz w:val="22"/>
                <w:szCs w:val="22"/>
              </w:rPr>
              <w:t>.0225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0.011</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Difference between Foreign &amp; Domestic Rates</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DifRate</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rsidP="006A5437">
            <w:pPr>
              <w:autoSpaceDE w:val="0"/>
              <w:autoSpaceDN w:val="0"/>
              <w:adjustRightInd w:val="0"/>
              <w:jc w:val="right"/>
              <w:rPr>
                <w:color w:val="000000"/>
                <w:sz w:val="22"/>
                <w:szCs w:val="22"/>
              </w:rPr>
            </w:pPr>
            <w:r>
              <w:rPr>
                <w:color w:val="000000"/>
                <w:sz w:val="22"/>
                <w:szCs w:val="22"/>
              </w:rPr>
              <w:t>0.</w:t>
            </w:r>
            <w:r w:rsidR="006A5437">
              <w:rPr>
                <w:color w:val="000000"/>
                <w:sz w:val="22"/>
                <w:szCs w:val="22"/>
              </w:rPr>
              <w:t>00</w:t>
            </w:r>
            <w:r>
              <w:rPr>
                <w:color w:val="000000"/>
                <w:sz w:val="22"/>
                <w:szCs w:val="22"/>
              </w:rPr>
              <w:t>44</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0.011</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Regulatory Stringency Indicator</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Reg</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0.466</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0.499</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Average Agent Wage (in $000)</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Wage</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rsidP="001A13DC">
            <w:pPr>
              <w:autoSpaceDE w:val="0"/>
              <w:autoSpaceDN w:val="0"/>
              <w:adjustRightInd w:val="0"/>
              <w:jc w:val="right"/>
              <w:rPr>
                <w:color w:val="000000"/>
                <w:sz w:val="22"/>
                <w:szCs w:val="22"/>
              </w:rPr>
            </w:pPr>
            <w:r>
              <w:rPr>
                <w:color w:val="000000"/>
                <w:sz w:val="22"/>
                <w:szCs w:val="22"/>
              </w:rPr>
              <w:t>$46.225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$13.409</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Percentage in Urban Areas</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Metro</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rsidP="006A5437">
            <w:pPr>
              <w:autoSpaceDE w:val="0"/>
              <w:autoSpaceDN w:val="0"/>
              <w:adjustRightInd w:val="0"/>
              <w:jc w:val="right"/>
              <w:rPr>
                <w:color w:val="000000"/>
                <w:sz w:val="22"/>
                <w:szCs w:val="22"/>
              </w:rPr>
            </w:pPr>
            <w:r>
              <w:rPr>
                <w:color w:val="000000"/>
                <w:sz w:val="22"/>
                <w:szCs w:val="22"/>
              </w:rPr>
              <w:t>70.89</w:t>
            </w:r>
            <w:r w:rsidR="006A5437">
              <w:rPr>
                <w:color w:val="000000"/>
                <w:sz w:val="22"/>
                <w:szCs w:val="22"/>
              </w:rPr>
              <w:t>%</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19.493</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Ratio of State Income Taxes to State Income</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PIT</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0.020</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0.011</w:t>
            </w:r>
          </w:p>
        </w:tc>
      </w:tr>
      <w:tr w:rsidR="006322C0" w:rsidTr="006322C0">
        <w:trPr>
          <w:trHeight w:val="432"/>
        </w:trPr>
        <w:tc>
          <w:tcPr>
            <w:tcW w:w="5250" w:type="dxa"/>
            <w:tcBorders>
              <w:top w:val="nil"/>
              <w:left w:val="nil"/>
              <w:bottom w:val="nil"/>
              <w:right w:val="nil"/>
            </w:tcBorders>
          </w:tcPr>
          <w:p w:rsidR="006322C0" w:rsidRDefault="006322C0" w:rsidP="006D1D1E">
            <w:pPr>
              <w:autoSpaceDE w:val="0"/>
              <w:autoSpaceDN w:val="0"/>
              <w:adjustRightInd w:val="0"/>
              <w:rPr>
                <w:color w:val="000000"/>
                <w:sz w:val="22"/>
                <w:szCs w:val="22"/>
              </w:rPr>
            </w:pPr>
            <w:r>
              <w:rPr>
                <w:color w:val="000000"/>
                <w:sz w:val="22"/>
                <w:szCs w:val="22"/>
              </w:rPr>
              <w:t>Ratio of Revenues from Sales Taxes to State Income</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ST</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0.020</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0.010</w:t>
            </w:r>
          </w:p>
        </w:tc>
      </w:tr>
      <w:tr w:rsidR="006322C0" w:rsidTr="006322C0">
        <w:trPr>
          <w:trHeight w:val="432"/>
        </w:trPr>
        <w:tc>
          <w:tcPr>
            <w:tcW w:w="5250" w:type="dxa"/>
            <w:tcBorders>
              <w:top w:val="nil"/>
              <w:left w:val="nil"/>
              <w:bottom w:val="nil"/>
              <w:right w:val="nil"/>
            </w:tcBorders>
          </w:tcPr>
          <w:p w:rsidR="006322C0" w:rsidRDefault="006322C0" w:rsidP="006D1D1E">
            <w:pPr>
              <w:autoSpaceDE w:val="0"/>
              <w:autoSpaceDN w:val="0"/>
              <w:adjustRightInd w:val="0"/>
              <w:rPr>
                <w:color w:val="000000"/>
                <w:sz w:val="22"/>
                <w:szCs w:val="22"/>
              </w:rPr>
            </w:pPr>
            <w:r>
              <w:rPr>
                <w:color w:val="000000"/>
                <w:sz w:val="22"/>
                <w:szCs w:val="22"/>
              </w:rPr>
              <w:t>Percent of Population with </w:t>
            </w:r>
            <w:r w:rsidR="006D1D1E">
              <w:rPr>
                <w:color w:val="000000"/>
                <w:sz w:val="22"/>
                <w:szCs w:val="22"/>
              </w:rPr>
              <w:t>B</w:t>
            </w:r>
            <w:r>
              <w:rPr>
                <w:color w:val="000000"/>
                <w:sz w:val="22"/>
                <w:szCs w:val="22"/>
              </w:rPr>
              <w:t xml:space="preserve">achelor’s </w:t>
            </w:r>
            <w:r w:rsidR="006D1D1E">
              <w:rPr>
                <w:color w:val="000000"/>
                <w:sz w:val="22"/>
                <w:szCs w:val="22"/>
              </w:rPr>
              <w:t>D</w:t>
            </w:r>
            <w:r>
              <w:rPr>
                <w:color w:val="000000"/>
                <w:sz w:val="22"/>
                <w:szCs w:val="22"/>
              </w:rPr>
              <w:t xml:space="preserve">egree or </w:t>
            </w:r>
            <w:r w:rsidR="006D1D1E">
              <w:rPr>
                <w:color w:val="000000"/>
                <w:sz w:val="22"/>
                <w:szCs w:val="22"/>
              </w:rPr>
              <w:t>M</w:t>
            </w:r>
            <w:r>
              <w:rPr>
                <w:color w:val="000000"/>
                <w:sz w:val="22"/>
                <w:szCs w:val="22"/>
              </w:rPr>
              <w:t>ore</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BA</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A5437" w:rsidP="006A5437">
            <w:pPr>
              <w:autoSpaceDE w:val="0"/>
              <w:autoSpaceDN w:val="0"/>
              <w:adjustRightInd w:val="0"/>
              <w:jc w:val="right"/>
              <w:rPr>
                <w:color w:val="000000"/>
                <w:sz w:val="22"/>
                <w:szCs w:val="22"/>
              </w:rPr>
            </w:pPr>
            <w:r>
              <w:rPr>
                <w:color w:val="000000"/>
                <w:sz w:val="22"/>
                <w:szCs w:val="22"/>
              </w:rPr>
              <w:t>25.42%</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5.311</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 xml:space="preserve">State </w:t>
            </w:r>
            <w:proofErr w:type="spellStart"/>
            <w:r>
              <w:rPr>
                <w:color w:val="000000"/>
                <w:sz w:val="22"/>
                <w:szCs w:val="22"/>
              </w:rPr>
              <w:t>Herfindahl</w:t>
            </w:r>
            <w:proofErr w:type="spellEnd"/>
            <w:r>
              <w:rPr>
                <w:color w:val="000000"/>
                <w:sz w:val="22"/>
                <w:szCs w:val="22"/>
              </w:rPr>
              <w:t xml:space="preserve"> Index </w:t>
            </w:r>
          </w:p>
        </w:tc>
        <w:tc>
          <w:tcPr>
            <w:tcW w:w="1260" w:type="dxa"/>
            <w:tcBorders>
              <w:top w:val="nil"/>
              <w:left w:val="nil"/>
              <w:bottom w:val="nil"/>
              <w:right w:val="nil"/>
            </w:tcBorders>
          </w:tcPr>
          <w:p w:rsidR="006322C0" w:rsidRDefault="006322C0" w:rsidP="00470CF5">
            <w:pPr>
              <w:autoSpaceDE w:val="0"/>
              <w:autoSpaceDN w:val="0"/>
              <w:adjustRightInd w:val="0"/>
              <w:jc w:val="center"/>
              <w:rPr>
                <w:i/>
                <w:iCs/>
                <w:color w:val="000000"/>
                <w:sz w:val="22"/>
                <w:szCs w:val="22"/>
              </w:rPr>
            </w:pPr>
            <w:r>
              <w:rPr>
                <w:i/>
                <w:iCs/>
                <w:color w:val="000000"/>
                <w:sz w:val="22"/>
                <w:szCs w:val="22"/>
              </w:rPr>
              <w:t>HI</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0.0230</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0.0085</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Percentage of Population over 65</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Over65</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rsidP="006A5437">
            <w:pPr>
              <w:autoSpaceDE w:val="0"/>
              <w:autoSpaceDN w:val="0"/>
              <w:adjustRightInd w:val="0"/>
              <w:jc w:val="right"/>
              <w:rPr>
                <w:color w:val="000000"/>
                <w:sz w:val="22"/>
                <w:szCs w:val="22"/>
              </w:rPr>
            </w:pPr>
            <w:r>
              <w:rPr>
                <w:color w:val="000000"/>
                <w:sz w:val="22"/>
                <w:szCs w:val="22"/>
              </w:rPr>
              <w:t>12.58</w:t>
            </w:r>
            <w:r w:rsidR="006A5437">
              <w:rPr>
                <w:color w:val="000000"/>
                <w:sz w:val="22"/>
                <w:szCs w:val="22"/>
              </w:rPr>
              <w:t>%</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1.813</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Percent of Employment in Manufacturing</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MFG</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rsidP="006A5437">
            <w:pPr>
              <w:autoSpaceDE w:val="0"/>
              <w:autoSpaceDN w:val="0"/>
              <w:adjustRightInd w:val="0"/>
              <w:jc w:val="right"/>
              <w:rPr>
                <w:color w:val="000000"/>
                <w:sz w:val="22"/>
                <w:szCs w:val="22"/>
              </w:rPr>
            </w:pPr>
            <w:r>
              <w:rPr>
                <w:color w:val="000000"/>
                <w:sz w:val="22"/>
                <w:szCs w:val="22"/>
              </w:rPr>
              <w:t>13.42</w:t>
            </w:r>
            <w:r w:rsidR="006A5437">
              <w:rPr>
                <w:color w:val="000000"/>
                <w:sz w:val="22"/>
                <w:szCs w:val="22"/>
              </w:rPr>
              <w:t>%</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5.599</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Per Capita Income</w:t>
            </w:r>
            <w:r w:rsidR="006D1D1E">
              <w:rPr>
                <w:color w:val="000000"/>
                <w:sz w:val="22"/>
                <w:szCs w:val="22"/>
              </w:rPr>
              <w:t xml:space="preserve"> (in 000s)</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PCInc</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A5437">
            <w:pPr>
              <w:autoSpaceDE w:val="0"/>
              <w:autoSpaceDN w:val="0"/>
              <w:adjustRightInd w:val="0"/>
              <w:jc w:val="right"/>
              <w:rPr>
                <w:color w:val="000000"/>
                <w:sz w:val="22"/>
                <w:szCs w:val="22"/>
              </w:rPr>
            </w:pPr>
            <w:r>
              <w:rPr>
                <w:color w:val="000000"/>
                <w:sz w:val="22"/>
                <w:szCs w:val="22"/>
              </w:rPr>
              <w:t>$</w:t>
            </w:r>
            <w:r w:rsidR="006322C0">
              <w:rPr>
                <w:color w:val="000000"/>
                <w:sz w:val="22"/>
                <w:szCs w:val="22"/>
              </w:rPr>
              <w:t>32.434</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7.617</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Control by Democratic Party</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Dem</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0.21</w:t>
            </w:r>
            <w:r w:rsidR="006A5437">
              <w:rPr>
                <w:color w:val="000000"/>
                <w:sz w:val="22"/>
                <w:szCs w:val="22"/>
              </w:rPr>
              <w:t>1</w:t>
            </w:r>
            <w:r>
              <w:rPr>
                <w:color w:val="000000"/>
                <w:sz w:val="22"/>
                <w:szCs w:val="22"/>
              </w:rPr>
              <w:t>9</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0.414</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Dummy Variable for East Census Region</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East</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rsidP="006A5437">
            <w:pPr>
              <w:autoSpaceDE w:val="0"/>
              <w:autoSpaceDN w:val="0"/>
              <w:adjustRightInd w:val="0"/>
              <w:jc w:val="right"/>
              <w:rPr>
                <w:color w:val="000000"/>
                <w:sz w:val="22"/>
                <w:szCs w:val="22"/>
              </w:rPr>
            </w:pPr>
            <w:r>
              <w:rPr>
                <w:color w:val="000000"/>
                <w:sz w:val="22"/>
                <w:szCs w:val="22"/>
              </w:rPr>
              <w:t>0.43</w:t>
            </w:r>
            <w:r w:rsidR="006A5437">
              <w:rPr>
                <w:color w:val="000000"/>
                <w:sz w:val="22"/>
                <w:szCs w:val="22"/>
              </w:rPr>
              <w:t>0</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0.496</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Democratic Party Control for 1958-1979</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PolIndex</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0.649</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0.279</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Ratio of State Corporate Income Taxes to State Income</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CIT</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0.004</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0.003</w:t>
            </w:r>
          </w:p>
        </w:tc>
      </w:tr>
      <w:tr w:rsidR="006322C0" w:rsidTr="006322C0">
        <w:trPr>
          <w:trHeight w:val="432"/>
        </w:trPr>
        <w:tc>
          <w:tcPr>
            <w:tcW w:w="5250" w:type="dxa"/>
            <w:tcBorders>
              <w:top w:val="nil"/>
              <w:left w:val="nil"/>
              <w:bottom w:val="nil"/>
              <w:right w:val="nil"/>
            </w:tcBorders>
          </w:tcPr>
          <w:p w:rsidR="006322C0" w:rsidRDefault="006322C0" w:rsidP="00442A55">
            <w:pPr>
              <w:autoSpaceDE w:val="0"/>
              <w:autoSpaceDN w:val="0"/>
              <w:adjustRightInd w:val="0"/>
              <w:rPr>
                <w:color w:val="000000"/>
                <w:sz w:val="22"/>
                <w:szCs w:val="22"/>
              </w:rPr>
            </w:pPr>
            <w:r>
              <w:rPr>
                <w:color w:val="000000"/>
                <w:sz w:val="22"/>
                <w:szCs w:val="22"/>
              </w:rPr>
              <w:t>Agent Employment (in 000s)</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Agents</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745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12.354</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13.423</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Number of Domestic Companies</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Domcos</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50.501</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49.869</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Share of National PC Industry Employment in State</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EmpShare</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1.987</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2.254</w:t>
            </w:r>
          </w:p>
        </w:tc>
      </w:tr>
      <w:tr w:rsidR="006322C0" w:rsidTr="006322C0">
        <w:trPr>
          <w:trHeight w:val="432"/>
        </w:trPr>
        <w:tc>
          <w:tcPr>
            <w:tcW w:w="5250" w:type="dxa"/>
            <w:tcBorders>
              <w:top w:val="nil"/>
              <w:left w:val="nil"/>
              <w:bottom w:val="nil"/>
              <w:right w:val="nil"/>
            </w:tcBorders>
          </w:tcPr>
          <w:p w:rsidR="006322C0" w:rsidRDefault="006322C0" w:rsidP="00974E2E">
            <w:pPr>
              <w:autoSpaceDE w:val="0"/>
              <w:autoSpaceDN w:val="0"/>
              <w:adjustRightInd w:val="0"/>
              <w:rPr>
                <w:color w:val="000000"/>
                <w:sz w:val="22"/>
                <w:szCs w:val="22"/>
              </w:rPr>
            </w:pPr>
            <w:r>
              <w:rPr>
                <w:color w:val="000000"/>
                <w:sz w:val="22"/>
                <w:szCs w:val="22"/>
              </w:rPr>
              <w:t xml:space="preserve">Domestic Sales + Exports (in $ </w:t>
            </w:r>
            <w:r w:rsidR="00974E2E">
              <w:rPr>
                <w:color w:val="000000"/>
                <w:sz w:val="22"/>
                <w:szCs w:val="22"/>
              </w:rPr>
              <w:t>bill</w:t>
            </w:r>
            <w:r w:rsidR="00B2147C">
              <w:rPr>
                <w:color w:val="000000"/>
                <w:sz w:val="22"/>
                <w:szCs w:val="22"/>
              </w:rPr>
              <w:t>i</w:t>
            </w:r>
            <w:r w:rsidR="00974E2E">
              <w:rPr>
                <w:color w:val="000000"/>
                <w:sz w:val="22"/>
                <w:szCs w:val="22"/>
              </w:rPr>
              <w:t>ons</w:t>
            </w:r>
            <w:r>
              <w:rPr>
                <w:color w:val="000000"/>
                <w:sz w:val="22"/>
                <w:szCs w:val="22"/>
              </w:rPr>
              <w:t xml:space="preserve">) </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Output</w:t>
            </w:r>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rsidP="00974E2E">
            <w:pPr>
              <w:autoSpaceDE w:val="0"/>
              <w:autoSpaceDN w:val="0"/>
              <w:adjustRightInd w:val="0"/>
              <w:jc w:val="right"/>
              <w:rPr>
                <w:color w:val="000000"/>
                <w:sz w:val="22"/>
                <w:szCs w:val="22"/>
              </w:rPr>
            </w:pPr>
            <w:r>
              <w:rPr>
                <w:color w:val="000000"/>
                <w:sz w:val="22"/>
                <w:szCs w:val="22"/>
              </w:rPr>
              <w:t>$13</w:t>
            </w:r>
            <w:r w:rsidR="00974E2E">
              <w:rPr>
                <w:color w:val="000000"/>
                <w:sz w:val="22"/>
                <w:szCs w:val="22"/>
              </w:rPr>
              <w:t>.</w:t>
            </w:r>
            <w:r>
              <w:rPr>
                <w:color w:val="000000"/>
                <w:sz w:val="22"/>
                <w:szCs w:val="22"/>
              </w:rPr>
              <w:t>5</w:t>
            </w:r>
            <w:r w:rsidR="00974E2E">
              <w:rPr>
                <w:color w:val="000000"/>
                <w:sz w:val="22"/>
                <w:szCs w:val="22"/>
              </w:rPr>
              <w:t>32</w:t>
            </w:r>
          </w:p>
        </w:tc>
        <w:tc>
          <w:tcPr>
            <w:tcW w:w="1170" w:type="dxa"/>
            <w:tcBorders>
              <w:top w:val="nil"/>
              <w:left w:val="nil"/>
              <w:bottom w:val="nil"/>
              <w:right w:val="nil"/>
            </w:tcBorders>
          </w:tcPr>
          <w:p w:rsidR="006322C0" w:rsidRDefault="006322C0" w:rsidP="00974E2E">
            <w:pPr>
              <w:autoSpaceDE w:val="0"/>
              <w:autoSpaceDN w:val="0"/>
              <w:adjustRightInd w:val="0"/>
              <w:jc w:val="right"/>
              <w:rPr>
                <w:color w:val="000000"/>
                <w:sz w:val="22"/>
                <w:szCs w:val="22"/>
              </w:rPr>
            </w:pPr>
            <w:r>
              <w:rPr>
                <w:color w:val="000000"/>
                <w:sz w:val="22"/>
                <w:szCs w:val="22"/>
              </w:rPr>
              <w:t>$25</w:t>
            </w:r>
            <w:r w:rsidR="00974E2E">
              <w:rPr>
                <w:color w:val="000000"/>
                <w:sz w:val="22"/>
                <w:szCs w:val="22"/>
              </w:rPr>
              <w:t>.</w:t>
            </w:r>
            <w:r>
              <w:rPr>
                <w:color w:val="000000"/>
                <w:sz w:val="22"/>
                <w:szCs w:val="22"/>
              </w:rPr>
              <w:t>9</w:t>
            </w:r>
            <w:r w:rsidR="00974E2E">
              <w:rPr>
                <w:color w:val="000000"/>
                <w:sz w:val="22"/>
                <w:szCs w:val="22"/>
              </w:rPr>
              <w:t>18</w:t>
            </w:r>
          </w:p>
        </w:tc>
      </w:tr>
      <w:tr w:rsidR="006322C0" w:rsidTr="006322C0">
        <w:trPr>
          <w:trHeight w:val="432"/>
        </w:trPr>
        <w:tc>
          <w:tcPr>
            <w:tcW w:w="5250" w:type="dxa"/>
            <w:tcBorders>
              <w:top w:val="nil"/>
              <w:left w:val="nil"/>
              <w:bottom w:val="nil"/>
              <w:right w:val="nil"/>
            </w:tcBorders>
          </w:tcPr>
          <w:p w:rsidR="006322C0" w:rsidRDefault="006322C0">
            <w:pPr>
              <w:autoSpaceDE w:val="0"/>
              <w:autoSpaceDN w:val="0"/>
              <w:adjustRightInd w:val="0"/>
              <w:rPr>
                <w:color w:val="000000"/>
                <w:sz w:val="22"/>
                <w:szCs w:val="22"/>
              </w:rPr>
            </w:pPr>
            <w:r>
              <w:rPr>
                <w:color w:val="000000"/>
                <w:sz w:val="22"/>
                <w:szCs w:val="22"/>
              </w:rPr>
              <w:t>Percent Share of Output</w:t>
            </w:r>
          </w:p>
        </w:tc>
        <w:tc>
          <w:tcPr>
            <w:tcW w:w="1260" w:type="dxa"/>
            <w:tcBorders>
              <w:top w:val="nil"/>
              <w:left w:val="nil"/>
              <w:bottom w:val="nil"/>
              <w:right w:val="nil"/>
            </w:tcBorders>
          </w:tcPr>
          <w:p w:rsidR="006322C0" w:rsidRDefault="006322C0">
            <w:pPr>
              <w:autoSpaceDE w:val="0"/>
              <w:autoSpaceDN w:val="0"/>
              <w:adjustRightInd w:val="0"/>
              <w:jc w:val="center"/>
              <w:rPr>
                <w:i/>
                <w:iCs/>
                <w:color w:val="000000"/>
                <w:sz w:val="22"/>
                <w:szCs w:val="22"/>
              </w:rPr>
            </w:pPr>
            <w:proofErr w:type="spellStart"/>
            <w:r>
              <w:rPr>
                <w:i/>
                <w:iCs/>
                <w:color w:val="000000"/>
                <w:sz w:val="22"/>
                <w:szCs w:val="22"/>
              </w:rPr>
              <w:t>PremShare</w:t>
            </w:r>
            <w:proofErr w:type="spellEnd"/>
          </w:p>
        </w:tc>
        <w:tc>
          <w:tcPr>
            <w:tcW w:w="63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1.986</w:t>
            </w:r>
          </w:p>
        </w:tc>
        <w:tc>
          <w:tcPr>
            <w:tcW w:w="1170" w:type="dxa"/>
            <w:tcBorders>
              <w:top w:val="nil"/>
              <w:left w:val="nil"/>
              <w:bottom w:val="nil"/>
              <w:right w:val="nil"/>
            </w:tcBorders>
          </w:tcPr>
          <w:p w:rsidR="006322C0" w:rsidRDefault="006322C0">
            <w:pPr>
              <w:autoSpaceDE w:val="0"/>
              <w:autoSpaceDN w:val="0"/>
              <w:adjustRightInd w:val="0"/>
              <w:jc w:val="right"/>
              <w:rPr>
                <w:color w:val="000000"/>
                <w:sz w:val="22"/>
                <w:szCs w:val="22"/>
              </w:rPr>
            </w:pPr>
            <w:r>
              <w:rPr>
                <w:color w:val="000000"/>
                <w:sz w:val="22"/>
                <w:szCs w:val="22"/>
              </w:rPr>
              <w:t>3.790</w:t>
            </w:r>
          </w:p>
        </w:tc>
      </w:tr>
      <w:tr w:rsidR="006322C0" w:rsidTr="006322C0">
        <w:trPr>
          <w:trHeight w:val="432"/>
        </w:trPr>
        <w:tc>
          <w:tcPr>
            <w:tcW w:w="5250" w:type="dxa"/>
            <w:tcBorders>
              <w:top w:val="nil"/>
              <w:left w:val="nil"/>
              <w:right w:val="nil"/>
            </w:tcBorders>
          </w:tcPr>
          <w:p w:rsidR="006322C0" w:rsidRDefault="006322C0" w:rsidP="00B2147C">
            <w:pPr>
              <w:autoSpaceDE w:val="0"/>
              <w:autoSpaceDN w:val="0"/>
              <w:adjustRightInd w:val="0"/>
              <w:rPr>
                <w:color w:val="000000"/>
                <w:sz w:val="22"/>
                <w:szCs w:val="22"/>
              </w:rPr>
            </w:pPr>
            <w:r>
              <w:rPr>
                <w:color w:val="000000"/>
                <w:sz w:val="22"/>
                <w:szCs w:val="22"/>
              </w:rPr>
              <w:t xml:space="preserve">Exports of Premiums (in $ </w:t>
            </w:r>
            <w:r w:rsidR="00B2147C">
              <w:rPr>
                <w:color w:val="000000"/>
                <w:sz w:val="22"/>
                <w:szCs w:val="22"/>
              </w:rPr>
              <w:t>billions</w:t>
            </w:r>
            <w:r>
              <w:rPr>
                <w:color w:val="000000"/>
                <w:sz w:val="22"/>
                <w:szCs w:val="22"/>
              </w:rPr>
              <w:t>)</w:t>
            </w:r>
          </w:p>
        </w:tc>
        <w:tc>
          <w:tcPr>
            <w:tcW w:w="1260" w:type="dxa"/>
            <w:tcBorders>
              <w:top w:val="nil"/>
              <w:left w:val="nil"/>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Export</w:t>
            </w:r>
          </w:p>
        </w:tc>
        <w:tc>
          <w:tcPr>
            <w:tcW w:w="630" w:type="dxa"/>
            <w:tcBorders>
              <w:top w:val="nil"/>
              <w:left w:val="nil"/>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right w:val="nil"/>
            </w:tcBorders>
          </w:tcPr>
          <w:p w:rsidR="006322C0" w:rsidRDefault="006322C0" w:rsidP="00974E2E">
            <w:pPr>
              <w:autoSpaceDE w:val="0"/>
              <w:autoSpaceDN w:val="0"/>
              <w:adjustRightInd w:val="0"/>
              <w:jc w:val="right"/>
              <w:rPr>
                <w:color w:val="000000"/>
                <w:sz w:val="22"/>
                <w:szCs w:val="22"/>
              </w:rPr>
            </w:pPr>
            <w:r>
              <w:rPr>
                <w:color w:val="000000"/>
                <w:sz w:val="22"/>
                <w:szCs w:val="22"/>
              </w:rPr>
              <w:t>$5</w:t>
            </w:r>
            <w:r w:rsidR="00974E2E">
              <w:rPr>
                <w:color w:val="000000"/>
                <w:sz w:val="22"/>
                <w:szCs w:val="22"/>
              </w:rPr>
              <w:t>.</w:t>
            </w:r>
            <w:r>
              <w:rPr>
                <w:color w:val="000000"/>
                <w:sz w:val="22"/>
                <w:szCs w:val="22"/>
              </w:rPr>
              <w:t>7</w:t>
            </w:r>
            <w:r w:rsidR="00974E2E">
              <w:rPr>
                <w:color w:val="000000"/>
                <w:sz w:val="22"/>
                <w:szCs w:val="22"/>
              </w:rPr>
              <w:t>57</w:t>
            </w:r>
          </w:p>
        </w:tc>
        <w:tc>
          <w:tcPr>
            <w:tcW w:w="1170" w:type="dxa"/>
            <w:tcBorders>
              <w:top w:val="nil"/>
              <w:left w:val="nil"/>
              <w:right w:val="nil"/>
            </w:tcBorders>
          </w:tcPr>
          <w:p w:rsidR="006322C0" w:rsidRDefault="006322C0" w:rsidP="00974E2E">
            <w:pPr>
              <w:autoSpaceDE w:val="0"/>
              <w:autoSpaceDN w:val="0"/>
              <w:adjustRightInd w:val="0"/>
              <w:jc w:val="right"/>
              <w:rPr>
                <w:color w:val="000000"/>
                <w:sz w:val="22"/>
                <w:szCs w:val="22"/>
              </w:rPr>
            </w:pPr>
            <w:r>
              <w:rPr>
                <w:color w:val="000000"/>
                <w:sz w:val="22"/>
                <w:szCs w:val="22"/>
              </w:rPr>
              <w:t>$12</w:t>
            </w:r>
            <w:r w:rsidR="00974E2E">
              <w:rPr>
                <w:color w:val="000000"/>
                <w:sz w:val="22"/>
                <w:szCs w:val="22"/>
              </w:rPr>
              <w:t>.1</w:t>
            </w:r>
            <w:r>
              <w:rPr>
                <w:color w:val="000000"/>
                <w:sz w:val="22"/>
                <w:szCs w:val="22"/>
              </w:rPr>
              <w:t>5</w:t>
            </w:r>
            <w:r w:rsidR="00974E2E">
              <w:rPr>
                <w:color w:val="000000"/>
                <w:sz w:val="22"/>
                <w:szCs w:val="22"/>
              </w:rPr>
              <w:t>9</w:t>
            </w:r>
            <w:r>
              <w:rPr>
                <w:color w:val="000000"/>
                <w:sz w:val="22"/>
                <w:szCs w:val="22"/>
              </w:rPr>
              <w:t>.0</w:t>
            </w:r>
          </w:p>
        </w:tc>
      </w:tr>
      <w:tr w:rsidR="006322C0" w:rsidTr="006322C0">
        <w:trPr>
          <w:trHeight w:val="432"/>
        </w:trPr>
        <w:tc>
          <w:tcPr>
            <w:tcW w:w="5250" w:type="dxa"/>
            <w:tcBorders>
              <w:top w:val="nil"/>
              <w:left w:val="nil"/>
              <w:bottom w:val="single" w:sz="4" w:space="0" w:color="auto"/>
              <w:right w:val="nil"/>
            </w:tcBorders>
          </w:tcPr>
          <w:p w:rsidR="006322C0" w:rsidRDefault="006322C0" w:rsidP="00442A55">
            <w:pPr>
              <w:autoSpaceDE w:val="0"/>
              <w:autoSpaceDN w:val="0"/>
              <w:adjustRightInd w:val="0"/>
              <w:rPr>
                <w:color w:val="000000"/>
                <w:sz w:val="22"/>
                <w:szCs w:val="22"/>
              </w:rPr>
            </w:pPr>
            <w:r>
              <w:rPr>
                <w:color w:val="000000"/>
                <w:sz w:val="22"/>
                <w:szCs w:val="22"/>
              </w:rPr>
              <w:t>Population of State (in millions)</w:t>
            </w:r>
          </w:p>
        </w:tc>
        <w:tc>
          <w:tcPr>
            <w:tcW w:w="1260" w:type="dxa"/>
            <w:tcBorders>
              <w:top w:val="nil"/>
              <w:left w:val="nil"/>
              <w:bottom w:val="single" w:sz="4" w:space="0" w:color="auto"/>
              <w:right w:val="nil"/>
            </w:tcBorders>
          </w:tcPr>
          <w:p w:rsidR="006322C0" w:rsidRDefault="006322C0">
            <w:pPr>
              <w:autoSpaceDE w:val="0"/>
              <w:autoSpaceDN w:val="0"/>
              <w:adjustRightInd w:val="0"/>
              <w:jc w:val="center"/>
              <w:rPr>
                <w:i/>
                <w:iCs/>
                <w:color w:val="000000"/>
                <w:sz w:val="22"/>
                <w:szCs w:val="22"/>
              </w:rPr>
            </w:pPr>
            <w:r>
              <w:rPr>
                <w:i/>
                <w:iCs/>
                <w:color w:val="000000"/>
                <w:sz w:val="22"/>
                <w:szCs w:val="22"/>
              </w:rPr>
              <w:t>Pop</w:t>
            </w:r>
          </w:p>
        </w:tc>
        <w:tc>
          <w:tcPr>
            <w:tcW w:w="630" w:type="dxa"/>
            <w:tcBorders>
              <w:top w:val="nil"/>
              <w:left w:val="nil"/>
              <w:bottom w:val="single" w:sz="4" w:space="0" w:color="auto"/>
              <w:right w:val="nil"/>
            </w:tcBorders>
          </w:tcPr>
          <w:p w:rsidR="006322C0" w:rsidRDefault="006322C0">
            <w:pPr>
              <w:autoSpaceDE w:val="0"/>
              <w:autoSpaceDN w:val="0"/>
              <w:adjustRightInd w:val="0"/>
              <w:jc w:val="right"/>
              <w:rPr>
                <w:color w:val="000000"/>
                <w:sz w:val="22"/>
                <w:szCs w:val="22"/>
              </w:rPr>
            </w:pPr>
            <w:r>
              <w:rPr>
                <w:color w:val="000000"/>
                <w:sz w:val="22"/>
                <w:szCs w:val="22"/>
              </w:rPr>
              <w:t>755</w:t>
            </w:r>
          </w:p>
        </w:tc>
        <w:tc>
          <w:tcPr>
            <w:tcW w:w="1170" w:type="dxa"/>
            <w:tcBorders>
              <w:top w:val="nil"/>
              <w:left w:val="nil"/>
              <w:bottom w:val="single" w:sz="4" w:space="0" w:color="auto"/>
              <w:right w:val="nil"/>
            </w:tcBorders>
          </w:tcPr>
          <w:p w:rsidR="006322C0" w:rsidRDefault="006322C0">
            <w:pPr>
              <w:autoSpaceDE w:val="0"/>
              <w:autoSpaceDN w:val="0"/>
              <w:adjustRightInd w:val="0"/>
              <w:jc w:val="right"/>
              <w:rPr>
                <w:color w:val="000000"/>
                <w:sz w:val="22"/>
                <w:szCs w:val="22"/>
              </w:rPr>
            </w:pPr>
            <w:r>
              <w:rPr>
                <w:color w:val="000000"/>
                <w:sz w:val="22"/>
                <w:szCs w:val="22"/>
              </w:rPr>
              <w:t>5.741</w:t>
            </w:r>
          </w:p>
        </w:tc>
        <w:tc>
          <w:tcPr>
            <w:tcW w:w="1170" w:type="dxa"/>
            <w:tcBorders>
              <w:top w:val="nil"/>
              <w:left w:val="nil"/>
              <w:bottom w:val="single" w:sz="4" w:space="0" w:color="auto"/>
              <w:right w:val="nil"/>
            </w:tcBorders>
          </w:tcPr>
          <w:p w:rsidR="006322C0" w:rsidRDefault="006322C0">
            <w:pPr>
              <w:autoSpaceDE w:val="0"/>
              <w:autoSpaceDN w:val="0"/>
              <w:adjustRightInd w:val="0"/>
              <w:jc w:val="right"/>
              <w:rPr>
                <w:color w:val="000000"/>
                <w:sz w:val="22"/>
                <w:szCs w:val="22"/>
              </w:rPr>
            </w:pPr>
            <w:r>
              <w:rPr>
                <w:color w:val="000000"/>
                <w:sz w:val="22"/>
                <w:szCs w:val="22"/>
              </w:rPr>
              <w:t>6.349</w:t>
            </w:r>
          </w:p>
        </w:tc>
      </w:tr>
    </w:tbl>
    <w:p w:rsidR="00BD139B" w:rsidRDefault="00BD139B">
      <w:pPr>
        <w:rPr>
          <w:b/>
        </w:rPr>
      </w:pPr>
      <w:r>
        <w:rPr>
          <w:b/>
        </w:rPr>
        <w:br w:type="page"/>
      </w:r>
    </w:p>
    <w:tbl>
      <w:tblPr>
        <w:tblW w:w="7555" w:type="dxa"/>
        <w:tblInd w:w="914" w:type="dxa"/>
        <w:tblLayout w:type="fixed"/>
        <w:tblCellMar>
          <w:left w:w="58" w:type="dxa"/>
          <w:right w:w="14" w:type="dxa"/>
        </w:tblCellMar>
        <w:tblLook w:val="04A0" w:firstRow="1" w:lastRow="0" w:firstColumn="1" w:lastColumn="0" w:noHBand="0" w:noVBand="1"/>
      </w:tblPr>
      <w:tblGrid>
        <w:gridCol w:w="2339"/>
        <w:gridCol w:w="236"/>
        <w:gridCol w:w="34"/>
        <w:gridCol w:w="7"/>
        <w:gridCol w:w="444"/>
        <w:gridCol w:w="989"/>
        <w:gridCol w:w="188"/>
        <w:gridCol w:w="6"/>
        <w:gridCol w:w="41"/>
        <w:gridCol w:w="488"/>
        <w:gridCol w:w="42"/>
        <w:gridCol w:w="90"/>
        <w:gridCol w:w="29"/>
        <w:gridCol w:w="6"/>
        <w:gridCol w:w="11"/>
        <w:gridCol w:w="75"/>
        <w:gridCol w:w="59"/>
        <w:gridCol w:w="1591"/>
        <w:gridCol w:w="29"/>
        <w:gridCol w:w="46"/>
        <w:gridCol w:w="653"/>
        <w:gridCol w:w="6"/>
        <w:gridCol w:w="15"/>
        <w:gridCol w:w="39"/>
        <w:gridCol w:w="15"/>
        <w:gridCol w:w="77"/>
      </w:tblGrid>
      <w:tr w:rsidR="00BD139B" w:rsidRPr="00546CE4" w:rsidTr="00992A05">
        <w:trPr>
          <w:trHeight w:val="300"/>
        </w:trPr>
        <w:tc>
          <w:tcPr>
            <w:tcW w:w="7555" w:type="dxa"/>
            <w:gridSpan w:val="26"/>
            <w:tcBorders>
              <w:top w:val="single" w:sz="4" w:space="0" w:color="auto"/>
            </w:tcBorders>
            <w:shd w:val="clear" w:color="auto" w:fill="auto"/>
            <w:noWrap/>
            <w:vAlign w:val="bottom"/>
          </w:tcPr>
          <w:p w:rsidR="00442A55" w:rsidRDefault="00BD139B" w:rsidP="00442A55">
            <w:pPr>
              <w:rPr>
                <w:b/>
                <w:bCs/>
                <w:color w:val="000000"/>
                <w:sz w:val="22"/>
                <w:szCs w:val="22"/>
              </w:rPr>
            </w:pPr>
            <w:bookmarkStart w:id="5" w:name="RANGE!D1:J46"/>
            <w:r w:rsidRPr="00546CE4">
              <w:rPr>
                <w:b/>
                <w:bCs/>
                <w:color w:val="000000"/>
                <w:sz w:val="22"/>
                <w:szCs w:val="22"/>
              </w:rPr>
              <w:lastRenderedPageBreak/>
              <w:t xml:space="preserve">Table 2. </w:t>
            </w:r>
            <w:r w:rsidR="00B2186A">
              <w:rPr>
                <w:b/>
                <w:bCs/>
                <w:color w:val="000000"/>
                <w:sz w:val="22"/>
                <w:szCs w:val="22"/>
              </w:rPr>
              <w:t xml:space="preserve">Year </w:t>
            </w:r>
            <w:r w:rsidR="00220004">
              <w:rPr>
                <w:b/>
                <w:bCs/>
                <w:color w:val="000000"/>
                <w:sz w:val="22"/>
                <w:szCs w:val="22"/>
              </w:rPr>
              <w:t>Fixed Effects Estimates</w:t>
            </w:r>
            <w:r w:rsidRPr="00546CE4">
              <w:rPr>
                <w:b/>
                <w:bCs/>
                <w:color w:val="000000"/>
                <w:sz w:val="22"/>
                <w:szCs w:val="22"/>
              </w:rPr>
              <w:t xml:space="preserve">  </w:t>
            </w:r>
          </w:p>
          <w:p w:rsidR="00BD139B" w:rsidRPr="00546CE4" w:rsidRDefault="00BD139B" w:rsidP="00442A55">
            <w:pPr>
              <w:rPr>
                <w:color w:val="000000"/>
                <w:sz w:val="22"/>
                <w:szCs w:val="22"/>
              </w:rPr>
            </w:pPr>
            <w:r w:rsidRPr="00546CE4">
              <w:rPr>
                <w:b/>
                <w:bCs/>
                <w:color w:val="000000"/>
                <w:sz w:val="22"/>
                <w:szCs w:val="22"/>
              </w:rPr>
              <w:t>Dependent Variable</w:t>
            </w:r>
            <w:r w:rsidR="00442A55">
              <w:rPr>
                <w:b/>
                <w:bCs/>
                <w:color w:val="000000"/>
                <w:sz w:val="22"/>
                <w:szCs w:val="22"/>
              </w:rPr>
              <w:t>:</w:t>
            </w:r>
            <w:r w:rsidRPr="00546CE4">
              <w:rPr>
                <w:b/>
                <w:bCs/>
                <w:color w:val="000000"/>
                <w:sz w:val="22"/>
                <w:szCs w:val="22"/>
              </w:rPr>
              <w:t xml:space="preserve"> </w:t>
            </w:r>
            <w:proofErr w:type="spellStart"/>
            <w:r w:rsidRPr="00546CE4">
              <w:rPr>
                <w:b/>
                <w:bCs/>
                <w:i/>
                <w:iCs/>
                <w:color w:val="000000"/>
                <w:sz w:val="22"/>
                <w:szCs w:val="22"/>
              </w:rPr>
              <w:t>Emp</w:t>
            </w:r>
            <w:bookmarkEnd w:id="5"/>
            <w:proofErr w:type="spellEnd"/>
          </w:p>
        </w:tc>
      </w:tr>
      <w:tr w:rsidR="00E34B51" w:rsidRPr="00546CE4" w:rsidTr="00992A05">
        <w:trPr>
          <w:gridAfter w:val="4"/>
          <w:wAfter w:w="146" w:type="dxa"/>
          <w:trHeight w:val="300"/>
        </w:trPr>
        <w:tc>
          <w:tcPr>
            <w:tcW w:w="2339" w:type="dxa"/>
            <w:shd w:val="clear" w:color="auto" w:fill="auto"/>
            <w:noWrap/>
            <w:vAlign w:val="bottom"/>
            <w:hideMark/>
          </w:tcPr>
          <w:p w:rsidR="00BD139B" w:rsidRPr="00546CE4" w:rsidRDefault="00BD139B" w:rsidP="00F6649D">
            <w:pPr>
              <w:rPr>
                <w:color w:val="000000"/>
                <w:sz w:val="22"/>
                <w:szCs w:val="22"/>
              </w:rPr>
            </w:pPr>
          </w:p>
        </w:tc>
        <w:tc>
          <w:tcPr>
            <w:tcW w:w="277" w:type="dxa"/>
            <w:gridSpan w:val="3"/>
            <w:shd w:val="clear" w:color="auto" w:fill="auto"/>
            <w:noWrap/>
            <w:vAlign w:val="bottom"/>
            <w:hideMark/>
          </w:tcPr>
          <w:p w:rsidR="00BD139B" w:rsidRPr="00546CE4" w:rsidRDefault="00BD139B" w:rsidP="00F6649D">
            <w:pPr>
              <w:rPr>
                <w:color w:val="000000"/>
                <w:sz w:val="22"/>
                <w:szCs w:val="22"/>
              </w:rPr>
            </w:pPr>
          </w:p>
        </w:tc>
        <w:tc>
          <w:tcPr>
            <w:tcW w:w="1627" w:type="dxa"/>
            <w:gridSpan w:val="4"/>
            <w:shd w:val="clear" w:color="auto" w:fill="auto"/>
            <w:vAlign w:val="bottom"/>
            <w:hideMark/>
          </w:tcPr>
          <w:p w:rsidR="00BD139B" w:rsidRPr="00546CE4" w:rsidRDefault="00BD139B" w:rsidP="00F6649D">
            <w:pPr>
              <w:jc w:val="center"/>
              <w:rPr>
                <w:color w:val="000000"/>
                <w:sz w:val="22"/>
                <w:szCs w:val="22"/>
              </w:rPr>
            </w:pPr>
            <w:r w:rsidRPr="00546CE4">
              <w:rPr>
                <w:color w:val="000000"/>
                <w:sz w:val="22"/>
                <w:szCs w:val="22"/>
              </w:rPr>
              <w:t>(1)</w:t>
            </w:r>
          </w:p>
        </w:tc>
        <w:tc>
          <w:tcPr>
            <w:tcW w:w="696" w:type="dxa"/>
            <w:gridSpan w:val="6"/>
            <w:shd w:val="clear" w:color="auto" w:fill="auto"/>
            <w:noWrap/>
            <w:vAlign w:val="bottom"/>
            <w:hideMark/>
          </w:tcPr>
          <w:p w:rsidR="00BD139B" w:rsidRPr="00546CE4" w:rsidRDefault="00BD139B" w:rsidP="00F6649D">
            <w:pPr>
              <w:rPr>
                <w:color w:val="000000"/>
                <w:sz w:val="22"/>
                <w:szCs w:val="22"/>
              </w:rPr>
            </w:pPr>
          </w:p>
        </w:tc>
        <w:tc>
          <w:tcPr>
            <w:tcW w:w="2470" w:type="dxa"/>
            <w:gridSpan w:val="8"/>
            <w:shd w:val="clear" w:color="auto" w:fill="auto"/>
            <w:vAlign w:val="bottom"/>
            <w:hideMark/>
          </w:tcPr>
          <w:p w:rsidR="00BD139B" w:rsidRPr="00546CE4" w:rsidRDefault="00BD139B" w:rsidP="00F6649D">
            <w:pPr>
              <w:jc w:val="center"/>
              <w:rPr>
                <w:color w:val="000000"/>
                <w:sz w:val="22"/>
                <w:szCs w:val="22"/>
              </w:rPr>
            </w:pPr>
            <w:r w:rsidRPr="00546CE4">
              <w:rPr>
                <w:color w:val="000000"/>
                <w:sz w:val="22"/>
                <w:szCs w:val="22"/>
              </w:rPr>
              <w:t>(2)</w:t>
            </w:r>
          </w:p>
        </w:tc>
      </w:tr>
      <w:tr w:rsidR="00E34B51" w:rsidRPr="00171879" w:rsidTr="00992A05">
        <w:trPr>
          <w:gridAfter w:val="4"/>
          <w:wAfter w:w="146" w:type="dxa"/>
          <w:trHeight w:val="300"/>
        </w:trPr>
        <w:tc>
          <w:tcPr>
            <w:tcW w:w="2339" w:type="dxa"/>
            <w:tcBorders>
              <w:bottom w:val="single" w:sz="4" w:space="0" w:color="auto"/>
            </w:tcBorders>
            <w:shd w:val="clear" w:color="auto" w:fill="auto"/>
            <w:noWrap/>
            <w:vAlign w:val="bottom"/>
            <w:hideMark/>
          </w:tcPr>
          <w:p w:rsidR="001D6D42" w:rsidRDefault="00263842" w:rsidP="0040446D">
            <w:pPr>
              <w:jc w:val="center"/>
              <w:rPr>
                <w:b/>
                <w:color w:val="000000"/>
                <w:sz w:val="22"/>
                <w:szCs w:val="22"/>
              </w:rPr>
            </w:pPr>
            <w:r>
              <w:rPr>
                <w:b/>
                <w:color w:val="000000"/>
                <w:sz w:val="22"/>
                <w:szCs w:val="22"/>
              </w:rPr>
              <w:t xml:space="preserve">Variable </w:t>
            </w:r>
          </w:p>
        </w:tc>
        <w:tc>
          <w:tcPr>
            <w:tcW w:w="277" w:type="dxa"/>
            <w:gridSpan w:val="3"/>
            <w:tcBorders>
              <w:bottom w:val="single" w:sz="4" w:space="0" w:color="auto"/>
            </w:tcBorders>
            <w:shd w:val="clear" w:color="auto" w:fill="auto"/>
            <w:noWrap/>
            <w:vAlign w:val="bottom"/>
            <w:hideMark/>
          </w:tcPr>
          <w:p w:rsidR="00BD139B" w:rsidRPr="00171879" w:rsidRDefault="00BD139B" w:rsidP="00F6649D">
            <w:pPr>
              <w:rPr>
                <w:b/>
                <w:color w:val="000000"/>
                <w:sz w:val="22"/>
                <w:szCs w:val="22"/>
              </w:rPr>
            </w:pPr>
          </w:p>
        </w:tc>
        <w:tc>
          <w:tcPr>
            <w:tcW w:w="1627" w:type="dxa"/>
            <w:gridSpan w:val="4"/>
            <w:tcBorders>
              <w:bottom w:val="single" w:sz="4" w:space="0" w:color="auto"/>
            </w:tcBorders>
            <w:shd w:val="clear" w:color="auto" w:fill="auto"/>
            <w:noWrap/>
            <w:vAlign w:val="bottom"/>
            <w:hideMark/>
          </w:tcPr>
          <w:p w:rsidR="00BD139B" w:rsidRPr="0073177D" w:rsidRDefault="00BD139B" w:rsidP="0073177D">
            <w:pPr>
              <w:jc w:val="center"/>
              <w:rPr>
                <w:b/>
                <w:i/>
                <w:color w:val="000000"/>
                <w:sz w:val="22"/>
                <w:szCs w:val="22"/>
              </w:rPr>
            </w:pPr>
            <w:proofErr w:type="spellStart"/>
            <w:r w:rsidRPr="0073177D">
              <w:rPr>
                <w:b/>
                <w:i/>
                <w:color w:val="000000"/>
                <w:sz w:val="22"/>
                <w:szCs w:val="22"/>
              </w:rPr>
              <w:t>Emp</w:t>
            </w:r>
            <w:proofErr w:type="spellEnd"/>
          </w:p>
        </w:tc>
        <w:tc>
          <w:tcPr>
            <w:tcW w:w="696" w:type="dxa"/>
            <w:gridSpan w:val="6"/>
            <w:tcBorders>
              <w:bottom w:val="single" w:sz="4" w:space="0" w:color="auto"/>
            </w:tcBorders>
            <w:shd w:val="clear" w:color="auto" w:fill="auto"/>
            <w:noWrap/>
            <w:vAlign w:val="bottom"/>
            <w:hideMark/>
          </w:tcPr>
          <w:p w:rsidR="00BD139B" w:rsidRPr="00171879" w:rsidRDefault="00BD139B" w:rsidP="00F6649D">
            <w:pPr>
              <w:jc w:val="center"/>
              <w:rPr>
                <w:b/>
                <w:color w:val="000000"/>
                <w:sz w:val="22"/>
                <w:szCs w:val="22"/>
              </w:rPr>
            </w:pPr>
            <w:r w:rsidRPr="00171879">
              <w:rPr>
                <w:b/>
                <w:color w:val="000000"/>
                <w:sz w:val="22"/>
                <w:szCs w:val="22"/>
              </w:rPr>
              <w:t> </w:t>
            </w:r>
          </w:p>
        </w:tc>
        <w:tc>
          <w:tcPr>
            <w:tcW w:w="2470" w:type="dxa"/>
            <w:gridSpan w:val="8"/>
            <w:tcBorders>
              <w:bottom w:val="single" w:sz="4" w:space="0" w:color="auto"/>
            </w:tcBorders>
            <w:shd w:val="clear" w:color="auto" w:fill="auto"/>
            <w:noWrap/>
            <w:vAlign w:val="bottom"/>
            <w:hideMark/>
          </w:tcPr>
          <w:p w:rsidR="00BD139B" w:rsidRPr="0073177D" w:rsidRDefault="00BD139B" w:rsidP="0073177D">
            <w:pPr>
              <w:jc w:val="center"/>
              <w:rPr>
                <w:b/>
                <w:i/>
                <w:color w:val="000000"/>
                <w:sz w:val="22"/>
                <w:szCs w:val="22"/>
              </w:rPr>
            </w:pPr>
            <w:proofErr w:type="spellStart"/>
            <w:r w:rsidRPr="0073177D">
              <w:rPr>
                <w:b/>
                <w:i/>
                <w:color w:val="000000"/>
                <w:sz w:val="22"/>
                <w:szCs w:val="22"/>
              </w:rPr>
              <w:t>Emp</w:t>
            </w:r>
            <w:proofErr w:type="spellEnd"/>
          </w:p>
        </w:tc>
      </w:tr>
      <w:tr w:rsidR="00E34B51" w:rsidRPr="00171879" w:rsidTr="00E34B51">
        <w:trPr>
          <w:gridAfter w:val="1"/>
          <w:wAfter w:w="77" w:type="dxa"/>
          <w:trHeight w:val="216"/>
        </w:trPr>
        <w:tc>
          <w:tcPr>
            <w:tcW w:w="2339" w:type="dxa"/>
            <w:shd w:val="clear" w:color="auto" w:fill="auto"/>
            <w:noWrap/>
            <w:vAlign w:val="bottom"/>
            <w:hideMark/>
          </w:tcPr>
          <w:p w:rsidR="006D1919" w:rsidRPr="00171879" w:rsidRDefault="006D1919" w:rsidP="00F6649D">
            <w:pPr>
              <w:jc w:val="center"/>
              <w:rPr>
                <w:i/>
                <w:iCs/>
                <w:color w:val="000000"/>
                <w:sz w:val="22"/>
                <w:szCs w:val="22"/>
              </w:rPr>
            </w:pPr>
            <w:proofErr w:type="spellStart"/>
            <w:r w:rsidRPr="00171879">
              <w:rPr>
                <w:i/>
                <w:iCs/>
                <w:color w:val="000000"/>
                <w:sz w:val="22"/>
                <w:szCs w:val="22"/>
              </w:rPr>
              <w:t>F</w:t>
            </w:r>
            <w:r>
              <w:rPr>
                <w:i/>
                <w:iCs/>
                <w:color w:val="000000"/>
                <w:sz w:val="22"/>
                <w:szCs w:val="22"/>
              </w:rPr>
              <w:t>R</w:t>
            </w:r>
            <w:r w:rsidRPr="00171879">
              <w:rPr>
                <w:i/>
                <w:iCs/>
                <w:color w:val="000000"/>
                <w:sz w:val="22"/>
                <w:szCs w:val="22"/>
              </w:rPr>
              <w:t>ate</w:t>
            </w:r>
            <w:proofErr w:type="spellEnd"/>
          </w:p>
        </w:tc>
        <w:tc>
          <w:tcPr>
            <w:tcW w:w="270" w:type="dxa"/>
            <w:gridSpan w:val="2"/>
            <w:shd w:val="clear" w:color="auto" w:fill="auto"/>
            <w:vAlign w:val="bottom"/>
          </w:tcPr>
          <w:p w:rsidR="006D1919" w:rsidRPr="00171879" w:rsidRDefault="006D1919" w:rsidP="00F6649D">
            <w:pPr>
              <w:jc w:val="center"/>
              <w:rPr>
                <w:i/>
                <w:iCs/>
                <w:color w:val="000000"/>
                <w:sz w:val="22"/>
                <w:szCs w:val="22"/>
              </w:rPr>
            </w:pPr>
          </w:p>
        </w:tc>
        <w:tc>
          <w:tcPr>
            <w:tcW w:w="1440" w:type="dxa"/>
            <w:gridSpan w:val="3"/>
            <w:shd w:val="clear" w:color="auto" w:fill="auto"/>
            <w:noWrap/>
            <w:vAlign w:val="bottom"/>
          </w:tcPr>
          <w:p w:rsidR="006D1919" w:rsidRPr="00171879" w:rsidRDefault="006D1919" w:rsidP="00F6649D">
            <w:pPr>
              <w:jc w:val="right"/>
              <w:rPr>
                <w:color w:val="000000"/>
                <w:sz w:val="22"/>
                <w:szCs w:val="22"/>
              </w:rPr>
            </w:pPr>
            <w:r>
              <w:rPr>
                <w:color w:val="000000"/>
                <w:sz w:val="22"/>
                <w:szCs w:val="22"/>
              </w:rPr>
              <w:t>-366.821</w:t>
            </w:r>
          </w:p>
        </w:tc>
        <w:tc>
          <w:tcPr>
            <w:tcW w:w="723" w:type="dxa"/>
            <w:gridSpan w:val="4"/>
            <w:shd w:val="clear" w:color="auto" w:fill="auto"/>
            <w:noWrap/>
            <w:vAlign w:val="bottom"/>
            <w:hideMark/>
          </w:tcPr>
          <w:p w:rsidR="006D1919" w:rsidRPr="00171879" w:rsidRDefault="006D1919" w:rsidP="00E34B51">
            <w:pPr>
              <w:ind w:left="-374"/>
              <w:rPr>
                <w:color w:val="000000"/>
                <w:sz w:val="22"/>
                <w:szCs w:val="22"/>
              </w:rPr>
            </w:pPr>
            <w:r w:rsidRPr="00171879">
              <w:rPr>
                <w:color w:val="000000"/>
                <w:sz w:val="22"/>
                <w:szCs w:val="22"/>
              </w:rPr>
              <w:t>***</w:t>
            </w:r>
            <w:r w:rsidR="006D1D1E">
              <w:rPr>
                <w:color w:val="000000"/>
                <w:sz w:val="22"/>
                <w:szCs w:val="22"/>
              </w:rPr>
              <w:t>***</w:t>
            </w:r>
          </w:p>
        </w:tc>
        <w:tc>
          <w:tcPr>
            <w:tcW w:w="178" w:type="dxa"/>
            <w:gridSpan w:val="5"/>
            <w:shd w:val="clear" w:color="auto" w:fill="auto"/>
            <w:noWrap/>
            <w:vAlign w:val="bottom"/>
            <w:hideMark/>
          </w:tcPr>
          <w:p w:rsidR="006D1919" w:rsidRPr="00171879" w:rsidRDefault="006D1919" w:rsidP="00E34B51">
            <w:pPr>
              <w:ind w:right="-257"/>
              <w:rPr>
                <w:color w:val="000000"/>
                <w:sz w:val="22"/>
                <w:szCs w:val="22"/>
              </w:rPr>
            </w:pPr>
          </w:p>
        </w:tc>
        <w:tc>
          <w:tcPr>
            <w:tcW w:w="1725" w:type="dxa"/>
            <w:gridSpan w:val="3"/>
            <w:shd w:val="clear" w:color="auto" w:fill="auto"/>
            <w:noWrap/>
            <w:vAlign w:val="bottom"/>
            <w:hideMark/>
          </w:tcPr>
          <w:p w:rsidR="006D1919" w:rsidRPr="00171879" w:rsidRDefault="006D1919" w:rsidP="006D1919">
            <w:pPr>
              <w:jc w:val="right"/>
              <w:rPr>
                <w:color w:val="000000"/>
                <w:sz w:val="22"/>
                <w:szCs w:val="22"/>
              </w:rPr>
            </w:pPr>
            <w:r w:rsidRPr="00171879">
              <w:rPr>
                <w:color w:val="000000"/>
                <w:sz w:val="22"/>
                <w:szCs w:val="22"/>
              </w:rPr>
              <w:t>-</w:t>
            </w:r>
            <w:r>
              <w:rPr>
                <w:color w:val="000000"/>
                <w:sz w:val="22"/>
                <w:szCs w:val="22"/>
              </w:rPr>
              <w:t>450.072</w:t>
            </w:r>
          </w:p>
        </w:tc>
        <w:tc>
          <w:tcPr>
            <w:tcW w:w="803" w:type="dxa"/>
            <w:gridSpan w:val="7"/>
            <w:shd w:val="clear" w:color="auto" w:fill="auto"/>
            <w:noWrap/>
            <w:vAlign w:val="bottom"/>
            <w:hideMark/>
          </w:tcPr>
          <w:p w:rsidR="006D1919" w:rsidRPr="00171879" w:rsidRDefault="006D1919" w:rsidP="00F6649D">
            <w:pPr>
              <w:rPr>
                <w:color w:val="000000"/>
                <w:sz w:val="22"/>
                <w:szCs w:val="22"/>
              </w:rPr>
            </w:pPr>
            <w:r w:rsidRPr="00171879">
              <w:rPr>
                <w:color w:val="000000"/>
                <w:sz w:val="22"/>
                <w:szCs w:val="22"/>
              </w:rPr>
              <w:t>***</w:t>
            </w:r>
          </w:p>
        </w:tc>
      </w:tr>
      <w:tr w:rsidR="00E34B51" w:rsidRPr="00171879" w:rsidTr="00E34B51">
        <w:trPr>
          <w:gridAfter w:val="5"/>
          <w:wAfter w:w="152"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77" w:type="dxa"/>
            <w:gridSpan w:val="3"/>
            <w:shd w:val="clear" w:color="auto" w:fill="auto"/>
            <w:noWrap/>
            <w:vAlign w:val="bottom"/>
            <w:hideMark/>
          </w:tcPr>
          <w:p w:rsidR="00BD139B" w:rsidRPr="00171879" w:rsidRDefault="00BD139B" w:rsidP="00F6649D">
            <w:pPr>
              <w:rPr>
                <w:color w:val="000000"/>
                <w:sz w:val="22"/>
                <w:szCs w:val="22"/>
              </w:rPr>
            </w:pPr>
          </w:p>
        </w:tc>
        <w:tc>
          <w:tcPr>
            <w:tcW w:w="1433" w:type="dxa"/>
            <w:gridSpan w:val="2"/>
            <w:shd w:val="clear" w:color="auto" w:fill="auto"/>
            <w:noWrap/>
            <w:vAlign w:val="bottom"/>
          </w:tcPr>
          <w:p w:rsidR="00BD139B" w:rsidRPr="00171879" w:rsidRDefault="006322C0" w:rsidP="00F6649D">
            <w:pPr>
              <w:jc w:val="right"/>
              <w:rPr>
                <w:color w:val="000000"/>
                <w:sz w:val="22"/>
                <w:szCs w:val="22"/>
              </w:rPr>
            </w:pPr>
            <w:r>
              <w:rPr>
                <w:color w:val="000000"/>
                <w:sz w:val="22"/>
                <w:szCs w:val="22"/>
              </w:rPr>
              <w:t>(45.610)</w:t>
            </w:r>
          </w:p>
        </w:tc>
        <w:tc>
          <w:tcPr>
            <w:tcW w:w="188" w:type="dxa"/>
            <w:shd w:val="clear" w:color="auto" w:fill="auto"/>
            <w:noWrap/>
            <w:vAlign w:val="bottom"/>
            <w:hideMark/>
          </w:tcPr>
          <w:p w:rsidR="00BD139B" w:rsidRPr="00171879" w:rsidRDefault="00BD139B" w:rsidP="00F6649D">
            <w:pPr>
              <w:rPr>
                <w:color w:val="000000"/>
                <w:sz w:val="22"/>
                <w:szCs w:val="22"/>
              </w:rPr>
            </w:pPr>
          </w:p>
        </w:tc>
        <w:tc>
          <w:tcPr>
            <w:tcW w:w="696" w:type="dxa"/>
            <w:gridSpan w:val="6"/>
            <w:shd w:val="clear" w:color="auto" w:fill="auto"/>
            <w:noWrap/>
            <w:vAlign w:val="bottom"/>
            <w:hideMark/>
          </w:tcPr>
          <w:p w:rsidR="00BD139B" w:rsidRPr="00171879" w:rsidRDefault="00BD139B" w:rsidP="00F6649D">
            <w:pPr>
              <w:rPr>
                <w:color w:val="000000"/>
                <w:sz w:val="22"/>
                <w:szCs w:val="22"/>
              </w:rPr>
            </w:pPr>
          </w:p>
        </w:tc>
        <w:tc>
          <w:tcPr>
            <w:tcW w:w="1742" w:type="dxa"/>
            <w:gridSpan w:val="5"/>
            <w:shd w:val="clear" w:color="auto" w:fill="auto"/>
            <w:noWrap/>
            <w:vAlign w:val="bottom"/>
            <w:hideMark/>
          </w:tcPr>
          <w:p w:rsidR="00BD139B" w:rsidRPr="00171879" w:rsidRDefault="006D1919" w:rsidP="00F6649D">
            <w:pPr>
              <w:jc w:val="right"/>
              <w:rPr>
                <w:color w:val="000000"/>
                <w:sz w:val="22"/>
                <w:szCs w:val="22"/>
              </w:rPr>
            </w:pPr>
            <w:r>
              <w:rPr>
                <w:color w:val="000000"/>
                <w:sz w:val="22"/>
                <w:szCs w:val="22"/>
              </w:rPr>
              <w:t>(53.885</w:t>
            </w:r>
            <w:r w:rsidR="00BD139B" w:rsidRPr="00171879">
              <w:rPr>
                <w:color w:val="000000"/>
                <w:sz w:val="22"/>
                <w:szCs w:val="22"/>
              </w:rPr>
              <w:t>)</w:t>
            </w:r>
          </w:p>
        </w:tc>
        <w:tc>
          <w:tcPr>
            <w:tcW w:w="728" w:type="dxa"/>
            <w:gridSpan w:val="3"/>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proofErr w:type="spellStart"/>
            <w:r w:rsidRPr="00171879">
              <w:rPr>
                <w:i/>
                <w:iCs/>
                <w:color w:val="000000"/>
                <w:sz w:val="22"/>
                <w:szCs w:val="22"/>
              </w:rPr>
              <w:t>DifRate</w:t>
            </w:r>
            <w:proofErr w:type="spellEnd"/>
          </w:p>
        </w:tc>
        <w:tc>
          <w:tcPr>
            <w:tcW w:w="1710" w:type="dxa"/>
            <w:gridSpan w:val="5"/>
            <w:shd w:val="clear" w:color="auto" w:fill="auto"/>
            <w:noWrap/>
            <w:vAlign w:val="bottom"/>
          </w:tcPr>
          <w:p w:rsidR="00BD139B" w:rsidRPr="00171879" w:rsidRDefault="006322C0" w:rsidP="00F6649D">
            <w:pPr>
              <w:jc w:val="right"/>
              <w:rPr>
                <w:color w:val="000000"/>
                <w:sz w:val="22"/>
                <w:szCs w:val="22"/>
              </w:rPr>
            </w:pPr>
            <w:r>
              <w:rPr>
                <w:color w:val="000000"/>
                <w:sz w:val="22"/>
                <w:szCs w:val="22"/>
              </w:rPr>
              <w:t>156.273</w:t>
            </w:r>
          </w:p>
        </w:tc>
        <w:tc>
          <w:tcPr>
            <w:tcW w:w="723" w:type="dxa"/>
            <w:gridSpan w:val="4"/>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6D1919" w:rsidP="006D1919">
            <w:pPr>
              <w:jc w:val="right"/>
              <w:rPr>
                <w:color w:val="000000"/>
                <w:sz w:val="22"/>
                <w:szCs w:val="22"/>
              </w:rPr>
            </w:pPr>
            <w:r>
              <w:rPr>
                <w:color w:val="000000"/>
                <w:sz w:val="22"/>
                <w:szCs w:val="22"/>
              </w:rPr>
              <w:t>168.097</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E34B51">
        <w:trPr>
          <w:gridAfter w:val="5"/>
          <w:wAfter w:w="152"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77" w:type="dxa"/>
            <w:gridSpan w:val="3"/>
            <w:shd w:val="clear" w:color="auto" w:fill="auto"/>
            <w:noWrap/>
            <w:vAlign w:val="bottom"/>
            <w:hideMark/>
          </w:tcPr>
          <w:p w:rsidR="00BD139B" w:rsidRPr="00171879" w:rsidRDefault="00BD139B" w:rsidP="00F6649D">
            <w:pPr>
              <w:rPr>
                <w:color w:val="000000"/>
                <w:sz w:val="22"/>
                <w:szCs w:val="22"/>
              </w:rPr>
            </w:pPr>
          </w:p>
        </w:tc>
        <w:tc>
          <w:tcPr>
            <w:tcW w:w="1433" w:type="dxa"/>
            <w:gridSpan w:val="2"/>
            <w:shd w:val="clear" w:color="auto" w:fill="auto"/>
            <w:noWrap/>
            <w:vAlign w:val="bottom"/>
          </w:tcPr>
          <w:p w:rsidR="00BD139B" w:rsidRPr="00171879" w:rsidRDefault="006322C0" w:rsidP="00F6649D">
            <w:pPr>
              <w:jc w:val="right"/>
              <w:rPr>
                <w:color w:val="000000"/>
                <w:sz w:val="22"/>
                <w:szCs w:val="22"/>
              </w:rPr>
            </w:pPr>
            <w:r>
              <w:rPr>
                <w:color w:val="000000"/>
                <w:sz w:val="22"/>
                <w:szCs w:val="22"/>
              </w:rPr>
              <w:t>(24.828)</w:t>
            </w:r>
          </w:p>
        </w:tc>
        <w:tc>
          <w:tcPr>
            <w:tcW w:w="188" w:type="dxa"/>
            <w:shd w:val="clear" w:color="auto" w:fill="auto"/>
            <w:noWrap/>
            <w:vAlign w:val="bottom"/>
            <w:hideMark/>
          </w:tcPr>
          <w:p w:rsidR="00BD139B" w:rsidRPr="00171879" w:rsidRDefault="00BD139B" w:rsidP="00F6649D">
            <w:pPr>
              <w:rPr>
                <w:color w:val="000000"/>
                <w:sz w:val="22"/>
                <w:szCs w:val="22"/>
              </w:rPr>
            </w:pPr>
          </w:p>
        </w:tc>
        <w:tc>
          <w:tcPr>
            <w:tcW w:w="696" w:type="dxa"/>
            <w:gridSpan w:val="6"/>
            <w:shd w:val="clear" w:color="auto" w:fill="auto"/>
            <w:noWrap/>
            <w:vAlign w:val="bottom"/>
            <w:hideMark/>
          </w:tcPr>
          <w:p w:rsidR="00BD139B" w:rsidRPr="00171879" w:rsidRDefault="00BD139B" w:rsidP="00F6649D">
            <w:pPr>
              <w:rPr>
                <w:color w:val="000000"/>
                <w:sz w:val="22"/>
                <w:szCs w:val="22"/>
              </w:rPr>
            </w:pPr>
          </w:p>
        </w:tc>
        <w:tc>
          <w:tcPr>
            <w:tcW w:w="1742"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w:t>
            </w:r>
            <w:r w:rsidR="006D1919">
              <w:rPr>
                <w:color w:val="000000"/>
                <w:sz w:val="22"/>
                <w:szCs w:val="22"/>
              </w:rPr>
              <w:t>27.778</w:t>
            </w:r>
            <w:r w:rsidRPr="00171879">
              <w:rPr>
                <w:color w:val="000000"/>
                <w:sz w:val="22"/>
                <w:szCs w:val="22"/>
              </w:rPr>
              <w:t>)</w:t>
            </w:r>
          </w:p>
        </w:tc>
        <w:tc>
          <w:tcPr>
            <w:tcW w:w="728" w:type="dxa"/>
            <w:gridSpan w:val="3"/>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proofErr w:type="spellStart"/>
            <w:r w:rsidRPr="00171879">
              <w:rPr>
                <w:i/>
                <w:iCs/>
                <w:color w:val="000000"/>
                <w:sz w:val="22"/>
                <w:szCs w:val="22"/>
              </w:rPr>
              <w:t>Reg</w:t>
            </w:r>
            <w:proofErr w:type="spellEnd"/>
          </w:p>
        </w:tc>
        <w:tc>
          <w:tcPr>
            <w:tcW w:w="1710" w:type="dxa"/>
            <w:gridSpan w:val="5"/>
            <w:shd w:val="clear" w:color="auto" w:fill="auto"/>
            <w:noWrap/>
            <w:vAlign w:val="bottom"/>
          </w:tcPr>
          <w:p w:rsidR="00BD139B" w:rsidRPr="00171879" w:rsidRDefault="006322C0" w:rsidP="00F6649D">
            <w:pPr>
              <w:jc w:val="right"/>
              <w:rPr>
                <w:color w:val="000000"/>
                <w:sz w:val="22"/>
                <w:szCs w:val="22"/>
              </w:rPr>
            </w:pPr>
            <w:r>
              <w:rPr>
                <w:color w:val="000000"/>
                <w:sz w:val="22"/>
                <w:szCs w:val="22"/>
              </w:rPr>
              <w:t>0.052</w:t>
            </w: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423</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xml:space="preserve">  </w:t>
            </w:r>
          </w:p>
        </w:tc>
      </w:tr>
      <w:tr w:rsidR="00E34B51" w:rsidRPr="00171879" w:rsidTr="00E34B51">
        <w:trPr>
          <w:gridAfter w:val="5"/>
          <w:wAfter w:w="152"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474" w:type="dxa"/>
            <w:gridSpan w:val="4"/>
            <w:shd w:val="clear" w:color="auto" w:fill="auto"/>
            <w:noWrap/>
            <w:vAlign w:val="bottom"/>
          </w:tcPr>
          <w:p w:rsidR="00BD139B" w:rsidRPr="00171879" w:rsidRDefault="006322C0" w:rsidP="00F6649D">
            <w:pPr>
              <w:jc w:val="right"/>
              <w:rPr>
                <w:color w:val="000000"/>
                <w:sz w:val="22"/>
                <w:szCs w:val="22"/>
              </w:rPr>
            </w:pPr>
            <w:r>
              <w:rPr>
                <w:color w:val="000000"/>
                <w:sz w:val="22"/>
                <w:szCs w:val="22"/>
              </w:rPr>
              <w:t>(0.742)</w:t>
            </w:r>
          </w:p>
        </w:tc>
        <w:tc>
          <w:tcPr>
            <w:tcW w:w="188" w:type="dxa"/>
            <w:shd w:val="clear" w:color="auto" w:fill="auto"/>
            <w:noWrap/>
            <w:vAlign w:val="bottom"/>
            <w:hideMark/>
          </w:tcPr>
          <w:p w:rsidR="00BD139B" w:rsidRPr="00171879" w:rsidRDefault="00BD139B" w:rsidP="00F6649D">
            <w:pPr>
              <w:rPr>
                <w:color w:val="000000"/>
                <w:sz w:val="22"/>
                <w:szCs w:val="22"/>
              </w:rPr>
            </w:pPr>
          </w:p>
        </w:tc>
        <w:tc>
          <w:tcPr>
            <w:tcW w:w="696" w:type="dxa"/>
            <w:gridSpan w:val="6"/>
            <w:shd w:val="clear" w:color="auto" w:fill="auto"/>
            <w:noWrap/>
            <w:vAlign w:val="bottom"/>
            <w:hideMark/>
          </w:tcPr>
          <w:p w:rsidR="00BD139B" w:rsidRPr="00171879" w:rsidRDefault="00BD139B" w:rsidP="00F6649D">
            <w:pPr>
              <w:rPr>
                <w:color w:val="000000"/>
                <w:sz w:val="22"/>
                <w:szCs w:val="22"/>
              </w:rPr>
            </w:pPr>
          </w:p>
        </w:tc>
        <w:tc>
          <w:tcPr>
            <w:tcW w:w="1742"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684</w:t>
            </w:r>
            <w:r w:rsidRPr="00171879">
              <w:rPr>
                <w:color w:val="000000"/>
                <w:sz w:val="22"/>
                <w:szCs w:val="22"/>
              </w:rPr>
              <w:t>)</w:t>
            </w:r>
          </w:p>
        </w:tc>
        <w:tc>
          <w:tcPr>
            <w:tcW w:w="728" w:type="dxa"/>
            <w:gridSpan w:val="3"/>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Wage</w:t>
            </w:r>
          </w:p>
        </w:tc>
        <w:tc>
          <w:tcPr>
            <w:tcW w:w="1710" w:type="dxa"/>
            <w:gridSpan w:val="5"/>
            <w:shd w:val="clear" w:color="auto" w:fill="auto"/>
            <w:noWrap/>
            <w:vAlign w:val="bottom"/>
          </w:tcPr>
          <w:p w:rsidR="00BD139B" w:rsidRPr="00171879" w:rsidRDefault="006322C0" w:rsidP="00F6649D">
            <w:pPr>
              <w:jc w:val="right"/>
              <w:rPr>
                <w:color w:val="000000"/>
                <w:sz w:val="22"/>
                <w:szCs w:val="22"/>
              </w:rPr>
            </w:pPr>
            <w:r>
              <w:rPr>
                <w:color w:val="000000"/>
                <w:sz w:val="22"/>
                <w:szCs w:val="22"/>
              </w:rPr>
              <w:t>0.420</w:t>
            </w:r>
          </w:p>
        </w:tc>
        <w:tc>
          <w:tcPr>
            <w:tcW w:w="723" w:type="dxa"/>
            <w:gridSpan w:val="4"/>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6D1919" w:rsidP="00F6649D">
            <w:pPr>
              <w:jc w:val="right"/>
              <w:rPr>
                <w:color w:val="000000"/>
                <w:sz w:val="22"/>
                <w:szCs w:val="22"/>
              </w:rPr>
            </w:pPr>
            <w:r>
              <w:rPr>
                <w:color w:val="000000"/>
                <w:sz w:val="22"/>
                <w:szCs w:val="22"/>
              </w:rPr>
              <w:t>0.474</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E34B51">
        <w:trPr>
          <w:gridAfter w:val="5"/>
          <w:wAfter w:w="152"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474" w:type="dxa"/>
            <w:gridSpan w:val="4"/>
            <w:shd w:val="clear" w:color="auto" w:fill="auto"/>
            <w:noWrap/>
            <w:vAlign w:val="bottom"/>
          </w:tcPr>
          <w:p w:rsidR="00BD139B" w:rsidRPr="00171879" w:rsidRDefault="006322C0" w:rsidP="00F6649D">
            <w:pPr>
              <w:jc w:val="right"/>
              <w:rPr>
                <w:color w:val="000000"/>
                <w:sz w:val="22"/>
                <w:szCs w:val="22"/>
              </w:rPr>
            </w:pPr>
            <w:r>
              <w:rPr>
                <w:color w:val="000000"/>
                <w:sz w:val="22"/>
                <w:szCs w:val="22"/>
              </w:rPr>
              <w:t>(0.058)</w:t>
            </w:r>
          </w:p>
        </w:tc>
        <w:tc>
          <w:tcPr>
            <w:tcW w:w="188" w:type="dxa"/>
            <w:shd w:val="clear" w:color="auto" w:fill="auto"/>
            <w:noWrap/>
            <w:vAlign w:val="bottom"/>
            <w:hideMark/>
          </w:tcPr>
          <w:p w:rsidR="00BD139B" w:rsidRPr="00171879" w:rsidRDefault="00BD139B" w:rsidP="00F6649D">
            <w:pPr>
              <w:rPr>
                <w:color w:val="000000"/>
                <w:sz w:val="22"/>
                <w:szCs w:val="22"/>
              </w:rPr>
            </w:pPr>
          </w:p>
        </w:tc>
        <w:tc>
          <w:tcPr>
            <w:tcW w:w="696" w:type="dxa"/>
            <w:gridSpan w:val="6"/>
            <w:shd w:val="clear" w:color="auto" w:fill="auto"/>
            <w:noWrap/>
            <w:vAlign w:val="bottom"/>
            <w:hideMark/>
          </w:tcPr>
          <w:p w:rsidR="00BD139B" w:rsidRPr="00171879" w:rsidRDefault="00BD139B" w:rsidP="00F6649D">
            <w:pPr>
              <w:rPr>
                <w:color w:val="000000"/>
                <w:sz w:val="22"/>
                <w:szCs w:val="22"/>
              </w:rPr>
            </w:pPr>
          </w:p>
        </w:tc>
        <w:tc>
          <w:tcPr>
            <w:tcW w:w="1742"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(0.0</w:t>
            </w:r>
            <w:r w:rsidR="006D1919">
              <w:rPr>
                <w:color w:val="000000"/>
                <w:sz w:val="22"/>
                <w:szCs w:val="22"/>
              </w:rPr>
              <w:t>66</w:t>
            </w:r>
            <w:r w:rsidRPr="00171879">
              <w:rPr>
                <w:color w:val="000000"/>
                <w:sz w:val="22"/>
                <w:szCs w:val="22"/>
              </w:rPr>
              <w:t>)</w:t>
            </w:r>
          </w:p>
        </w:tc>
        <w:tc>
          <w:tcPr>
            <w:tcW w:w="728" w:type="dxa"/>
            <w:gridSpan w:val="3"/>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Metro</w:t>
            </w:r>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0.2</w:t>
            </w:r>
            <w:r w:rsidR="006D1919">
              <w:rPr>
                <w:color w:val="000000"/>
                <w:sz w:val="22"/>
                <w:szCs w:val="22"/>
              </w:rPr>
              <w:t>5</w:t>
            </w:r>
            <w:r w:rsidRPr="00171879">
              <w:rPr>
                <w:color w:val="000000"/>
                <w:sz w:val="22"/>
                <w:szCs w:val="22"/>
              </w:rPr>
              <w:t>6</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(0.0</w:t>
            </w:r>
            <w:r w:rsidR="006D1919">
              <w:rPr>
                <w:color w:val="000000"/>
                <w:sz w:val="22"/>
                <w:szCs w:val="22"/>
              </w:rPr>
              <w:t>21</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PIT</w:t>
            </w:r>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7</w:t>
            </w:r>
            <w:r w:rsidR="006D1919">
              <w:rPr>
                <w:color w:val="000000"/>
                <w:sz w:val="22"/>
                <w:szCs w:val="22"/>
              </w:rPr>
              <w:t>7</w:t>
            </w:r>
            <w:r w:rsidRPr="00171879">
              <w:rPr>
                <w:color w:val="000000"/>
                <w:sz w:val="22"/>
                <w:szCs w:val="22"/>
              </w:rPr>
              <w:t>.3</w:t>
            </w:r>
            <w:r w:rsidR="006D1919">
              <w:rPr>
                <w:color w:val="000000"/>
                <w:sz w:val="22"/>
                <w:szCs w:val="22"/>
              </w:rPr>
              <w:t>39</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w:t>
            </w:r>
            <w:r w:rsidR="006D1919">
              <w:rPr>
                <w:color w:val="000000"/>
                <w:sz w:val="22"/>
                <w:szCs w:val="22"/>
              </w:rPr>
              <w:t>39.279</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ST</w:t>
            </w:r>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-8.</w:t>
            </w:r>
            <w:r w:rsidR="006D1919">
              <w:rPr>
                <w:color w:val="000000"/>
                <w:sz w:val="22"/>
                <w:szCs w:val="22"/>
              </w:rPr>
              <w:t>504</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xml:space="preserve">  </w:t>
            </w: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w:t>
            </w:r>
            <w:r w:rsidR="006D1919">
              <w:rPr>
                <w:color w:val="000000"/>
                <w:sz w:val="22"/>
                <w:szCs w:val="22"/>
              </w:rPr>
              <w:t>25</w:t>
            </w:r>
            <w:r w:rsidRPr="00171879">
              <w:rPr>
                <w:color w:val="000000"/>
                <w:sz w:val="22"/>
                <w:szCs w:val="22"/>
              </w:rPr>
              <w:t>.</w:t>
            </w:r>
            <w:r w:rsidR="006D1919">
              <w:rPr>
                <w:color w:val="000000"/>
                <w:sz w:val="22"/>
                <w:szCs w:val="22"/>
              </w:rPr>
              <w:t>408</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BA</w:t>
            </w:r>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748</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1401</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Over65</w:t>
            </w:r>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354</w:t>
            </w:r>
          </w:p>
        </w:tc>
        <w:tc>
          <w:tcPr>
            <w:tcW w:w="803" w:type="dxa"/>
            <w:gridSpan w:val="7"/>
            <w:shd w:val="clear" w:color="auto" w:fill="auto"/>
            <w:noWrap/>
            <w:vAlign w:val="bottom"/>
            <w:hideMark/>
          </w:tcPr>
          <w:p w:rsidR="00BD139B" w:rsidRPr="00171879" w:rsidRDefault="00BD139B" w:rsidP="00E34B51">
            <w:pPr>
              <w:rPr>
                <w:color w:val="000000"/>
                <w:sz w:val="22"/>
                <w:szCs w:val="22"/>
              </w:rPr>
            </w:pPr>
            <w:r w:rsidRPr="00171879">
              <w:rPr>
                <w:color w:val="000000"/>
                <w:sz w:val="22"/>
                <w:szCs w:val="22"/>
              </w:rPr>
              <w:t>*</w:t>
            </w: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2107</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MFG</w:t>
            </w:r>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-0.0</w:t>
            </w:r>
            <w:r w:rsidR="006D1919">
              <w:rPr>
                <w:color w:val="000000"/>
                <w:sz w:val="22"/>
                <w:szCs w:val="22"/>
              </w:rPr>
              <w:t>15</w:t>
            </w:r>
          </w:p>
        </w:tc>
        <w:tc>
          <w:tcPr>
            <w:tcW w:w="803" w:type="dxa"/>
            <w:gridSpan w:val="7"/>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(0.0</w:t>
            </w:r>
            <w:r w:rsidR="006D1919">
              <w:rPr>
                <w:color w:val="000000"/>
                <w:sz w:val="22"/>
                <w:szCs w:val="22"/>
              </w:rPr>
              <w:t>69</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proofErr w:type="spellStart"/>
            <w:r w:rsidRPr="00171879">
              <w:rPr>
                <w:i/>
                <w:iCs/>
                <w:color w:val="000000"/>
                <w:sz w:val="22"/>
                <w:szCs w:val="22"/>
              </w:rPr>
              <w:t>PCInc</w:t>
            </w:r>
            <w:proofErr w:type="spellEnd"/>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490</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w:t>
            </w:r>
            <w:r w:rsidR="006D1919">
              <w:rPr>
                <w:color w:val="000000"/>
                <w:sz w:val="22"/>
                <w:szCs w:val="22"/>
              </w:rPr>
              <w:t>140</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E34B51">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HI</w:t>
            </w:r>
          </w:p>
        </w:tc>
        <w:tc>
          <w:tcPr>
            <w:tcW w:w="1710" w:type="dxa"/>
            <w:gridSpan w:val="5"/>
            <w:shd w:val="clear" w:color="auto" w:fill="auto"/>
            <w:noWrap/>
            <w:vAlign w:val="bottom"/>
            <w:hideMark/>
          </w:tcPr>
          <w:p w:rsidR="00BD139B" w:rsidRPr="00171879" w:rsidRDefault="00BD139B" w:rsidP="00F6649D">
            <w:pPr>
              <w:rPr>
                <w:color w:val="000000"/>
                <w:sz w:val="22"/>
                <w:szCs w:val="22"/>
              </w:rPr>
            </w:pP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w:t>
            </w:r>
            <w:r w:rsidR="006D1919">
              <w:rPr>
                <w:color w:val="000000"/>
                <w:sz w:val="22"/>
                <w:szCs w:val="22"/>
              </w:rPr>
              <w:t>343.826</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AC36AE">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709" w:type="dxa"/>
            <w:gridSpan w:val="7"/>
            <w:shd w:val="clear" w:color="auto" w:fill="auto"/>
            <w:noWrap/>
            <w:vAlign w:val="bottom"/>
            <w:hideMark/>
          </w:tcPr>
          <w:p w:rsidR="00BD139B" w:rsidRPr="00171879" w:rsidRDefault="00BD139B" w:rsidP="00F6649D">
            <w:pPr>
              <w:rPr>
                <w:color w:val="000000"/>
                <w:sz w:val="22"/>
                <w:szCs w:val="22"/>
              </w:rPr>
            </w:pPr>
          </w:p>
        </w:tc>
        <w:tc>
          <w:tcPr>
            <w:tcW w:w="488" w:type="dxa"/>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800"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w:t>
            </w:r>
            <w:r w:rsidR="006D1919">
              <w:rPr>
                <w:color w:val="000000"/>
                <w:sz w:val="22"/>
                <w:szCs w:val="22"/>
              </w:rPr>
              <w:t>58.785</w:t>
            </w:r>
            <w:r w:rsidRPr="00171879">
              <w:rPr>
                <w:color w:val="000000"/>
                <w:sz w:val="22"/>
                <w:szCs w:val="22"/>
              </w:rPr>
              <w:t>)</w:t>
            </w:r>
          </w:p>
        </w:tc>
        <w:tc>
          <w:tcPr>
            <w:tcW w:w="728" w:type="dxa"/>
            <w:gridSpan w:val="5"/>
            <w:shd w:val="clear" w:color="auto" w:fill="auto"/>
            <w:noWrap/>
            <w:vAlign w:val="bottom"/>
            <w:hideMark/>
          </w:tcPr>
          <w:p w:rsidR="00BD139B" w:rsidRPr="00171879" w:rsidRDefault="00BD139B" w:rsidP="00F6649D">
            <w:pPr>
              <w:rPr>
                <w:color w:val="000000"/>
                <w:sz w:val="22"/>
                <w:szCs w:val="22"/>
              </w:rPr>
            </w:pPr>
          </w:p>
        </w:tc>
      </w:tr>
      <w:tr w:rsidR="00E34B51" w:rsidRPr="00171879" w:rsidTr="00AC36AE">
        <w:trPr>
          <w:gridAfter w:val="1"/>
          <w:wAfter w:w="77" w:type="dxa"/>
          <w:trHeight w:val="216"/>
        </w:trPr>
        <w:tc>
          <w:tcPr>
            <w:tcW w:w="2339" w:type="dxa"/>
            <w:shd w:val="clear" w:color="auto" w:fill="auto"/>
            <w:noWrap/>
            <w:vAlign w:val="bottom"/>
            <w:hideMark/>
          </w:tcPr>
          <w:p w:rsidR="00BD139B" w:rsidRPr="00171879" w:rsidRDefault="00BD139B" w:rsidP="00F6649D">
            <w:pPr>
              <w:jc w:val="center"/>
              <w:rPr>
                <w:i/>
                <w:iCs/>
                <w:color w:val="000000"/>
                <w:sz w:val="22"/>
                <w:szCs w:val="22"/>
              </w:rPr>
            </w:pPr>
            <w:r w:rsidRPr="00171879">
              <w:rPr>
                <w:i/>
                <w:iCs/>
                <w:color w:val="000000"/>
                <w:sz w:val="22"/>
                <w:szCs w:val="22"/>
              </w:rPr>
              <w:t>Intercept</w:t>
            </w:r>
          </w:p>
        </w:tc>
        <w:tc>
          <w:tcPr>
            <w:tcW w:w="1710" w:type="dxa"/>
            <w:gridSpan w:val="5"/>
            <w:shd w:val="clear" w:color="auto" w:fill="auto"/>
            <w:noWrap/>
            <w:vAlign w:val="bottom"/>
            <w:hideMark/>
          </w:tcPr>
          <w:p w:rsidR="00BD139B" w:rsidRPr="00171879" w:rsidRDefault="00E34B51" w:rsidP="00E34B51">
            <w:pPr>
              <w:jc w:val="right"/>
              <w:rPr>
                <w:color w:val="000000"/>
                <w:sz w:val="22"/>
                <w:szCs w:val="22"/>
              </w:rPr>
            </w:pPr>
            <w:r>
              <w:rPr>
                <w:color w:val="000000"/>
                <w:sz w:val="22"/>
                <w:szCs w:val="22"/>
              </w:rPr>
              <w:t>-</w:t>
            </w:r>
            <w:r w:rsidR="00BD139B" w:rsidRPr="00171879">
              <w:rPr>
                <w:color w:val="000000"/>
                <w:sz w:val="22"/>
                <w:szCs w:val="22"/>
              </w:rPr>
              <w:t>1.</w:t>
            </w:r>
            <w:r>
              <w:rPr>
                <w:color w:val="000000"/>
                <w:sz w:val="22"/>
                <w:szCs w:val="22"/>
              </w:rPr>
              <w:t>417</w:t>
            </w:r>
          </w:p>
        </w:tc>
        <w:tc>
          <w:tcPr>
            <w:tcW w:w="723" w:type="dxa"/>
            <w:gridSpan w:val="4"/>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xml:space="preserve">  </w:t>
            </w: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E34B51" w:rsidP="00E34B51">
            <w:pPr>
              <w:jc w:val="right"/>
              <w:rPr>
                <w:color w:val="000000"/>
                <w:sz w:val="22"/>
                <w:szCs w:val="22"/>
              </w:rPr>
            </w:pPr>
            <w:r>
              <w:rPr>
                <w:color w:val="000000"/>
                <w:sz w:val="22"/>
                <w:szCs w:val="22"/>
              </w:rPr>
              <w:t>26.004</w:t>
            </w:r>
          </w:p>
        </w:tc>
        <w:tc>
          <w:tcPr>
            <w:tcW w:w="803" w:type="dxa"/>
            <w:gridSpan w:val="7"/>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AC36AE">
        <w:trPr>
          <w:gridAfter w:val="3"/>
          <w:wAfter w:w="131" w:type="dxa"/>
          <w:trHeight w:val="216"/>
        </w:trPr>
        <w:tc>
          <w:tcPr>
            <w:tcW w:w="2339" w:type="dxa"/>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c>
          <w:tcPr>
            <w:tcW w:w="236" w:type="dxa"/>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c>
          <w:tcPr>
            <w:tcW w:w="1474" w:type="dxa"/>
            <w:gridSpan w:val="4"/>
            <w:tcBorders>
              <w:bottom w:val="single" w:sz="4" w:space="0" w:color="auto"/>
            </w:tcBorders>
            <w:shd w:val="clear" w:color="auto" w:fill="auto"/>
            <w:noWrap/>
            <w:vAlign w:val="bottom"/>
            <w:hideMark/>
          </w:tcPr>
          <w:p w:rsidR="00BD139B" w:rsidRPr="00171879" w:rsidRDefault="00BD139B" w:rsidP="00E34B51">
            <w:pPr>
              <w:jc w:val="right"/>
              <w:rPr>
                <w:color w:val="000000"/>
                <w:sz w:val="22"/>
                <w:szCs w:val="22"/>
              </w:rPr>
            </w:pPr>
            <w:r w:rsidRPr="00171879">
              <w:rPr>
                <w:color w:val="000000"/>
                <w:sz w:val="22"/>
                <w:szCs w:val="22"/>
              </w:rPr>
              <w:t>(2.5</w:t>
            </w:r>
            <w:r w:rsidR="00E34B51">
              <w:rPr>
                <w:color w:val="000000"/>
                <w:sz w:val="22"/>
                <w:szCs w:val="22"/>
              </w:rPr>
              <w:t>24</w:t>
            </w:r>
            <w:r w:rsidRPr="00171879">
              <w:rPr>
                <w:color w:val="000000"/>
                <w:sz w:val="22"/>
                <w:szCs w:val="22"/>
              </w:rPr>
              <w:t>)</w:t>
            </w:r>
          </w:p>
        </w:tc>
        <w:tc>
          <w:tcPr>
            <w:tcW w:w="765" w:type="dxa"/>
            <w:gridSpan w:val="5"/>
            <w:tcBorders>
              <w:bottom w:val="single" w:sz="4" w:space="0" w:color="auto"/>
            </w:tcBorders>
            <w:shd w:val="clear" w:color="auto" w:fill="auto"/>
            <w:noWrap/>
            <w:vAlign w:val="bottom"/>
            <w:hideMark/>
          </w:tcPr>
          <w:p w:rsidR="00BD139B" w:rsidRPr="00171879" w:rsidRDefault="00BD139B" w:rsidP="00E34B51">
            <w:pPr>
              <w:ind w:left="-4596"/>
              <w:rPr>
                <w:color w:val="000000"/>
                <w:sz w:val="22"/>
                <w:szCs w:val="22"/>
              </w:rPr>
            </w:pPr>
            <w:r w:rsidRPr="00171879">
              <w:rPr>
                <w:color w:val="000000"/>
                <w:sz w:val="22"/>
                <w:szCs w:val="22"/>
              </w:rPr>
              <w:t> </w:t>
            </w:r>
          </w:p>
        </w:tc>
        <w:tc>
          <w:tcPr>
            <w:tcW w:w="211" w:type="dxa"/>
            <w:gridSpan w:val="5"/>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c>
          <w:tcPr>
            <w:tcW w:w="1679" w:type="dxa"/>
            <w:gridSpan w:val="3"/>
            <w:tcBorders>
              <w:bottom w:val="single" w:sz="4" w:space="0" w:color="auto"/>
            </w:tcBorders>
            <w:shd w:val="clear" w:color="auto" w:fill="auto"/>
            <w:noWrap/>
            <w:vAlign w:val="bottom"/>
            <w:hideMark/>
          </w:tcPr>
          <w:p w:rsidR="00BD139B" w:rsidRPr="00171879" w:rsidRDefault="00BD139B" w:rsidP="00E34B51">
            <w:pPr>
              <w:jc w:val="right"/>
              <w:rPr>
                <w:color w:val="000000"/>
                <w:sz w:val="22"/>
                <w:szCs w:val="22"/>
              </w:rPr>
            </w:pPr>
            <w:r w:rsidRPr="00171879">
              <w:rPr>
                <w:color w:val="000000"/>
                <w:sz w:val="22"/>
                <w:szCs w:val="22"/>
              </w:rPr>
              <w:t>(</w:t>
            </w:r>
            <w:r w:rsidR="00E34B51">
              <w:rPr>
                <w:color w:val="000000"/>
                <w:sz w:val="22"/>
                <w:szCs w:val="22"/>
              </w:rPr>
              <w:t>3.544</w:t>
            </w:r>
            <w:r w:rsidRPr="00171879">
              <w:rPr>
                <w:color w:val="000000"/>
                <w:sz w:val="22"/>
                <w:szCs w:val="22"/>
              </w:rPr>
              <w:t>)</w:t>
            </w:r>
          </w:p>
        </w:tc>
        <w:tc>
          <w:tcPr>
            <w:tcW w:w="720" w:type="dxa"/>
            <w:gridSpan w:val="4"/>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r>
      <w:tr w:rsidR="00E34B51" w:rsidRPr="00171879" w:rsidTr="00AC36AE">
        <w:trPr>
          <w:gridAfter w:val="3"/>
          <w:wAfter w:w="131" w:type="dxa"/>
          <w:trHeight w:val="216"/>
        </w:trPr>
        <w:tc>
          <w:tcPr>
            <w:tcW w:w="3060" w:type="dxa"/>
            <w:gridSpan w:val="5"/>
            <w:tcBorders>
              <w:top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Ela</w:t>
            </w:r>
            <w:r w:rsidR="006322C0">
              <w:rPr>
                <w:color w:val="000000"/>
                <w:sz w:val="22"/>
                <w:szCs w:val="22"/>
              </w:rPr>
              <w:t xml:space="preserve">sticity with respect to </w:t>
            </w:r>
            <w:proofErr w:type="spellStart"/>
            <w:r w:rsidR="006322C0" w:rsidRPr="006322C0">
              <w:rPr>
                <w:i/>
                <w:color w:val="000000"/>
                <w:sz w:val="22"/>
                <w:szCs w:val="22"/>
              </w:rPr>
              <w:t>F</w:t>
            </w:r>
            <w:r w:rsidRPr="006322C0">
              <w:rPr>
                <w:i/>
                <w:color w:val="000000"/>
                <w:sz w:val="22"/>
                <w:szCs w:val="22"/>
              </w:rPr>
              <w:t>Rate</w:t>
            </w:r>
            <w:proofErr w:type="spellEnd"/>
          </w:p>
        </w:tc>
        <w:tc>
          <w:tcPr>
            <w:tcW w:w="989" w:type="dxa"/>
            <w:tcBorders>
              <w:top w:val="single" w:sz="4" w:space="0" w:color="auto"/>
            </w:tcBorders>
            <w:shd w:val="clear" w:color="auto" w:fill="auto"/>
            <w:noWrap/>
            <w:vAlign w:val="bottom"/>
            <w:hideMark/>
          </w:tcPr>
          <w:p w:rsidR="00BD139B" w:rsidRPr="00171879" w:rsidRDefault="00BD139B" w:rsidP="00E34B51">
            <w:pPr>
              <w:jc w:val="right"/>
              <w:rPr>
                <w:color w:val="000000"/>
                <w:sz w:val="22"/>
                <w:szCs w:val="22"/>
              </w:rPr>
            </w:pPr>
            <w:r w:rsidRPr="00171879">
              <w:rPr>
                <w:color w:val="000000"/>
                <w:sz w:val="22"/>
                <w:szCs w:val="22"/>
              </w:rPr>
              <w:t>-</w:t>
            </w:r>
            <w:r w:rsidR="006322C0">
              <w:rPr>
                <w:color w:val="000000"/>
                <w:sz w:val="22"/>
                <w:szCs w:val="22"/>
              </w:rPr>
              <w:t>0.494</w:t>
            </w:r>
          </w:p>
        </w:tc>
        <w:tc>
          <w:tcPr>
            <w:tcW w:w="855" w:type="dxa"/>
            <w:gridSpan w:val="6"/>
            <w:tcBorders>
              <w:top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c>
          <w:tcPr>
            <w:tcW w:w="180" w:type="dxa"/>
            <w:gridSpan w:val="5"/>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c>
          <w:tcPr>
            <w:tcW w:w="1620" w:type="dxa"/>
            <w:gridSpan w:val="2"/>
            <w:tcBorders>
              <w:top w:val="single" w:sz="4" w:space="0" w:color="auto"/>
            </w:tcBorders>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w:t>
            </w:r>
            <w:r w:rsidR="006D1919">
              <w:rPr>
                <w:color w:val="000000"/>
                <w:sz w:val="22"/>
                <w:szCs w:val="22"/>
              </w:rPr>
              <w:t>0.662</w:t>
            </w:r>
          </w:p>
        </w:tc>
        <w:tc>
          <w:tcPr>
            <w:tcW w:w="720" w:type="dxa"/>
            <w:gridSpan w:val="4"/>
            <w:tcBorders>
              <w:top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w:t>
            </w:r>
          </w:p>
        </w:tc>
      </w:tr>
      <w:tr w:rsidR="00E34B51" w:rsidRPr="00171879" w:rsidTr="00AC36AE">
        <w:trPr>
          <w:gridAfter w:val="5"/>
          <w:wAfter w:w="152"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roofErr w:type="spellStart"/>
            <w:r w:rsidRPr="00171879">
              <w:rPr>
                <w:color w:val="000000"/>
                <w:sz w:val="22"/>
                <w:szCs w:val="22"/>
              </w:rPr>
              <w:t>Std</w:t>
            </w:r>
            <w:proofErr w:type="spellEnd"/>
            <w:r w:rsidRPr="00171879">
              <w:rPr>
                <w:color w:val="000000"/>
                <w:sz w:val="22"/>
                <w:szCs w:val="22"/>
              </w:rPr>
              <w:t xml:space="preserve"> Error of Elasticity</w:t>
            </w:r>
          </w:p>
        </w:tc>
        <w:tc>
          <w:tcPr>
            <w:tcW w:w="236" w:type="dxa"/>
            <w:shd w:val="clear" w:color="auto" w:fill="auto"/>
            <w:noWrap/>
            <w:vAlign w:val="bottom"/>
            <w:hideMark/>
          </w:tcPr>
          <w:p w:rsidR="00BD139B" w:rsidRPr="00171879" w:rsidRDefault="00BD139B" w:rsidP="00F6649D">
            <w:pPr>
              <w:rPr>
                <w:color w:val="000000"/>
                <w:sz w:val="22"/>
                <w:szCs w:val="22"/>
              </w:rPr>
            </w:pPr>
          </w:p>
        </w:tc>
        <w:tc>
          <w:tcPr>
            <w:tcW w:w="1474" w:type="dxa"/>
            <w:gridSpan w:val="4"/>
            <w:shd w:val="clear" w:color="auto" w:fill="auto"/>
            <w:noWrap/>
            <w:vAlign w:val="bottom"/>
            <w:hideMark/>
          </w:tcPr>
          <w:p w:rsidR="00BD139B" w:rsidRPr="00171879" w:rsidRDefault="00BD139B" w:rsidP="006322C0">
            <w:pPr>
              <w:jc w:val="right"/>
              <w:rPr>
                <w:color w:val="000000"/>
                <w:sz w:val="22"/>
                <w:szCs w:val="22"/>
              </w:rPr>
            </w:pPr>
            <w:r w:rsidRPr="00171879">
              <w:rPr>
                <w:color w:val="000000"/>
                <w:sz w:val="22"/>
                <w:szCs w:val="22"/>
              </w:rPr>
              <w:t>(0.</w:t>
            </w:r>
            <w:r w:rsidR="006322C0">
              <w:rPr>
                <w:color w:val="000000"/>
                <w:sz w:val="22"/>
                <w:szCs w:val="22"/>
              </w:rPr>
              <w:t>101</w:t>
            </w:r>
            <w:r w:rsidRPr="00171879">
              <w:rPr>
                <w:color w:val="000000"/>
                <w:sz w:val="22"/>
                <w:szCs w:val="22"/>
              </w:rPr>
              <w:t>)</w:t>
            </w:r>
          </w:p>
        </w:tc>
        <w:tc>
          <w:tcPr>
            <w:tcW w:w="188" w:type="dxa"/>
            <w:shd w:val="clear" w:color="auto" w:fill="auto"/>
            <w:noWrap/>
            <w:vAlign w:val="bottom"/>
            <w:hideMark/>
          </w:tcPr>
          <w:p w:rsidR="00BD139B" w:rsidRPr="00171879" w:rsidRDefault="00BD139B" w:rsidP="00F6649D">
            <w:pPr>
              <w:rPr>
                <w:color w:val="000000"/>
                <w:sz w:val="22"/>
                <w:szCs w:val="22"/>
              </w:rPr>
            </w:pPr>
          </w:p>
        </w:tc>
        <w:tc>
          <w:tcPr>
            <w:tcW w:w="696" w:type="dxa"/>
            <w:gridSpan w:val="6"/>
            <w:shd w:val="clear" w:color="auto" w:fill="auto"/>
            <w:noWrap/>
            <w:vAlign w:val="bottom"/>
            <w:hideMark/>
          </w:tcPr>
          <w:p w:rsidR="00BD139B" w:rsidRPr="00171879" w:rsidRDefault="00BD139B" w:rsidP="00F6649D">
            <w:pPr>
              <w:rPr>
                <w:color w:val="000000"/>
                <w:sz w:val="22"/>
                <w:szCs w:val="22"/>
              </w:rPr>
            </w:pPr>
          </w:p>
        </w:tc>
        <w:tc>
          <w:tcPr>
            <w:tcW w:w="1742" w:type="dxa"/>
            <w:gridSpan w:val="5"/>
            <w:shd w:val="clear" w:color="auto" w:fill="auto"/>
            <w:noWrap/>
            <w:vAlign w:val="bottom"/>
            <w:hideMark/>
          </w:tcPr>
          <w:p w:rsidR="00BD139B" w:rsidRPr="00171879" w:rsidRDefault="00BD139B" w:rsidP="006D1919">
            <w:pPr>
              <w:jc w:val="right"/>
              <w:rPr>
                <w:color w:val="000000"/>
                <w:sz w:val="22"/>
                <w:szCs w:val="22"/>
              </w:rPr>
            </w:pPr>
            <w:r w:rsidRPr="00171879">
              <w:rPr>
                <w:color w:val="000000"/>
                <w:sz w:val="22"/>
                <w:szCs w:val="22"/>
              </w:rPr>
              <w:t>(0.1</w:t>
            </w:r>
            <w:r w:rsidR="006D1919">
              <w:rPr>
                <w:color w:val="000000"/>
                <w:sz w:val="22"/>
                <w:szCs w:val="22"/>
              </w:rPr>
              <w:t>15</w:t>
            </w:r>
            <w:r w:rsidRPr="00171879">
              <w:rPr>
                <w:color w:val="000000"/>
                <w:sz w:val="22"/>
                <w:szCs w:val="22"/>
              </w:rPr>
              <w:t>)</w:t>
            </w:r>
          </w:p>
        </w:tc>
        <w:tc>
          <w:tcPr>
            <w:tcW w:w="728" w:type="dxa"/>
            <w:gridSpan w:val="3"/>
            <w:shd w:val="clear" w:color="auto" w:fill="auto"/>
            <w:noWrap/>
            <w:vAlign w:val="bottom"/>
            <w:hideMark/>
          </w:tcPr>
          <w:p w:rsidR="00BD139B" w:rsidRPr="00171879" w:rsidRDefault="00BD139B" w:rsidP="00F6649D">
            <w:pPr>
              <w:rPr>
                <w:color w:val="000000"/>
                <w:sz w:val="22"/>
                <w:szCs w:val="22"/>
              </w:rPr>
            </w:pPr>
          </w:p>
        </w:tc>
      </w:tr>
      <w:tr w:rsidR="00E34B51" w:rsidRPr="00171879" w:rsidTr="00AC36AE">
        <w:trPr>
          <w:gridAfter w:val="5"/>
          <w:wAfter w:w="152" w:type="dxa"/>
          <w:trHeight w:val="216"/>
        </w:trPr>
        <w:tc>
          <w:tcPr>
            <w:tcW w:w="2339" w:type="dxa"/>
            <w:shd w:val="clear" w:color="auto" w:fill="auto"/>
            <w:noWrap/>
            <w:vAlign w:val="bottom"/>
            <w:hideMark/>
          </w:tcPr>
          <w:p w:rsidR="00BD139B" w:rsidRPr="00171879" w:rsidRDefault="00BD139B" w:rsidP="00F6649D">
            <w:pPr>
              <w:rPr>
                <w:color w:val="000000"/>
                <w:sz w:val="22"/>
                <w:szCs w:val="22"/>
              </w:rPr>
            </w:pPr>
          </w:p>
        </w:tc>
        <w:tc>
          <w:tcPr>
            <w:tcW w:w="236" w:type="dxa"/>
            <w:shd w:val="clear" w:color="auto" w:fill="auto"/>
            <w:noWrap/>
            <w:vAlign w:val="bottom"/>
            <w:hideMark/>
          </w:tcPr>
          <w:p w:rsidR="00BD139B" w:rsidRPr="00171879" w:rsidRDefault="00BD139B" w:rsidP="00F6649D">
            <w:pPr>
              <w:rPr>
                <w:color w:val="000000"/>
                <w:sz w:val="22"/>
                <w:szCs w:val="22"/>
              </w:rPr>
            </w:pPr>
          </w:p>
        </w:tc>
        <w:tc>
          <w:tcPr>
            <w:tcW w:w="1474" w:type="dxa"/>
            <w:gridSpan w:val="4"/>
            <w:shd w:val="clear" w:color="auto" w:fill="auto"/>
            <w:noWrap/>
            <w:vAlign w:val="bottom"/>
            <w:hideMark/>
          </w:tcPr>
          <w:p w:rsidR="00BD139B" w:rsidRPr="00171879" w:rsidRDefault="00BD139B" w:rsidP="00F6649D">
            <w:pPr>
              <w:rPr>
                <w:color w:val="000000"/>
                <w:sz w:val="22"/>
                <w:szCs w:val="22"/>
              </w:rPr>
            </w:pPr>
          </w:p>
        </w:tc>
        <w:tc>
          <w:tcPr>
            <w:tcW w:w="188" w:type="dxa"/>
            <w:shd w:val="clear" w:color="auto" w:fill="auto"/>
            <w:noWrap/>
            <w:vAlign w:val="bottom"/>
            <w:hideMark/>
          </w:tcPr>
          <w:p w:rsidR="00BD139B" w:rsidRPr="00171879" w:rsidRDefault="00BD139B" w:rsidP="00F6649D">
            <w:pPr>
              <w:rPr>
                <w:color w:val="000000"/>
                <w:sz w:val="22"/>
                <w:szCs w:val="22"/>
              </w:rPr>
            </w:pPr>
          </w:p>
        </w:tc>
        <w:tc>
          <w:tcPr>
            <w:tcW w:w="696" w:type="dxa"/>
            <w:gridSpan w:val="6"/>
            <w:shd w:val="clear" w:color="auto" w:fill="auto"/>
            <w:noWrap/>
            <w:vAlign w:val="bottom"/>
            <w:hideMark/>
          </w:tcPr>
          <w:p w:rsidR="00BD139B" w:rsidRPr="00171879" w:rsidRDefault="00BD139B" w:rsidP="00F6649D">
            <w:pPr>
              <w:rPr>
                <w:color w:val="000000"/>
                <w:sz w:val="22"/>
                <w:szCs w:val="22"/>
              </w:rPr>
            </w:pPr>
          </w:p>
        </w:tc>
        <w:tc>
          <w:tcPr>
            <w:tcW w:w="1742" w:type="dxa"/>
            <w:gridSpan w:val="5"/>
            <w:shd w:val="clear" w:color="auto" w:fill="auto"/>
            <w:noWrap/>
            <w:vAlign w:val="bottom"/>
            <w:hideMark/>
          </w:tcPr>
          <w:p w:rsidR="00BD139B" w:rsidRPr="00171879" w:rsidRDefault="00BD139B" w:rsidP="00F6649D">
            <w:pPr>
              <w:rPr>
                <w:color w:val="000000"/>
                <w:sz w:val="22"/>
                <w:szCs w:val="22"/>
              </w:rPr>
            </w:pPr>
          </w:p>
        </w:tc>
        <w:tc>
          <w:tcPr>
            <w:tcW w:w="728" w:type="dxa"/>
            <w:gridSpan w:val="3"/>
            <w:shd w:val="clear" w:color="auto" w:fill="auto"/>
            <w:noWrap/>
            <w:vAlign w:val="bottom"/>
            <w:hideMark/>
          </w:tcPr>
          <w:p w:rsidR="00BD139B" w:rsidRPr="00171879" w:rsidRDefault="00BD139B" w:rsidP="00F6649D">
            <w:pPr>
              <w:rPr>
                <w:color w:val="000000"/>
                <w:sz w:val="22"/>
                <w:szCs w:val="22"/>
              </w:rPr>
            </w:pPr>
          </w:p>
        </w:tc>
      </w:tr>
      <w:tr w:rsidR="00E34B51" w:rsidRPr="00171879" w:rsidTr="00AC36AE">
        <w:trPr>
          <w:gridAfter w:val="1"/>
          <w:wAfter w:w="77" w:type="dxa"/>
          <w:trHeight w:val="216"/>
        </w:trPr>
        <w:tc>
          <w:tcPr>
            <w:tcW w:w="2339" w:type="dxa"/>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Number of Observations</w:t>
            </w:r>
          </w:p>
        </w:tc>
        <w:tc>
          <w:tcPr>
            <w:tcW w:w="1710" w:type="dxa"/>
            <w:gridSpan w:val="5"/>
            <w:shd w:val="clear" w:color="auto" w:fill="auto"/>
            <w:noWrap/>
            <w:vAlign w:val="bottom"/>
            <w:hideMark/>
          </w:tcPr>
          <w:p w:rsidR="00BD139B" w:rsidRPr="00171879" w:rsidRDefault="00BD139B" w:rsidP="00F6649D">
            <w:pPr>
              <w:jc w:val="right"/>
              <w:rPr>
                <w:color w:val="000000"/>
                <w:sz w:val="22"/>
                <w:szCs w:val="22"/>
              </w:rPr>
            </w:pPr>
            <w:r w:rsidRPr="00171879">
              <w:rPr>
                <w:color w:val="000000"/>
                <w:sz w:val="22"/>
                <w:szCs w:val="22"/>
              </w:rPr>
              <w:t>755</w:t>
            </w:r>
          </w:p>
        </w:tc>
        <w:tc>
          <w:tcPr>
            <w:tcW w:w="723" w:type="dxa"/>
            <w:gridSpan w:val="4"/>
            <w:shd w:val="clear" w:color="auto" w:fill="auto"/>
            <w:noWrap/>
            <w:vAlign w:val="bottom"/>
            <w:hideMark/>
          </w:tcPr>
          <w:p w:rsidR="00BD139B" w:rsidRPr="00171879" w:rsidRDefault="00BD139B" w:rsidP="00F6649D">
            <w:pPr>
              <w:rPr>
                <w:color w:val="000000"/>
                <w:sz w:val="22"/>
                <w:szCs w:val="22"/>
              </w:rPr>
            </w:pPr>
          </w:p>
        </w:tc>
        <w:tc>
          <w:tcPr>
            <w:tcW w:w="178" w:type="dxa"/>
            <w:gridSpan w:val="5"/>
            <w:shd w:val="clear" w:color="auto" w:fill="auto"/>
            <w:noWrap/>
            <w:vAlign w:val="bottom"/>
            <w:hideMark/>
          </w:tcPr>
          <w:p w:rsidR="00BD139B" w:rsidRPr="00171879" w:rsidRDefault="00BD139B" w:rsidP="00F6649D">
            <w:pPr>
              <w:rPr>
                <w:color w:val="000000"/>
                <w:sz w:val="22"/>
                <w:szCs w:val="22"/>
              </w:rPr>
            </w:pPr>
          </w:p>
        </w:tc>
        <w:tc>
          <w:tcPr>
            <w:tcW w:w="1725" w:type="dxa"/>
            <w:gridSpan w:val="3"/>
            <w:shd w:val="clear" w:color="auto" w:fill="auto"/>
            <w:noWrap/>
            <w:vAlign w:val="bottom"/>
            <w:hideMark/>
          </w:tcPr>
          <w:p w:rsidR="00BD139B" w:rsidRPr="00171879" w:rsidRDefault="00BD139B" w:rsidP="00F6649D">
            <w:pPr>
              <w:jc w:val="right"/>
              <w:rPr>
                <w:color w:val="000000"/>
                <w:sz w:val="22"/>
                <w:szCs w:val="22"/>
              </w:rPr>
            </w:pPr>
            <w:r w:rsidRPr="00171879">
              <w:rPr>
                <w:color w:val="000000"/>
                <w:sz w:val="22"/>
                <w:szCs w:val="22"/>
              </w:rPr>
              <w:t>755</w:t>
            </w:r>
          </w:p>
        </w:tc>
        <w:tc>
          <w:tcPr>
            <w:tcW w:w="803" w:type="dxa"/>
            <w:gridSpan w:val="7"/>
            <w:shd w:val="clear" w:color="auto" w:fill="auto"/>
            <w:noWrap/>
            <w:vAlign w:val="bottom"/>
            <w:hideMark/>
          </w:tcPr>
          <w:p w:rsidR="00BD139B" w:rsidRPr="00171879" w:rsidRDefault="00BD139B" w:rsidP="00F6649D">
            <w:pPr>
              <w:rPr>
                <w:color w:val="000000"/>
                <w:sz w:val="22"/>
                <w:szCs w:val="22"/>
              </w:rPr>
            </w:pPr>
          </w:p>
        </w:tc>
      </w:tr>
      <w:tr w:rsidR="00E34B51" w:rsidRPr="00171879" w:rsidTr="00AC36AE">
        <w:trPr>
          <w:gridAfter w:val="5"/>
          <w:wAfter w:w="152" w:type="dxa"/>
          <w:trHeight w:val="216"/>
        </w:trPr>
        <w:tc>
          <w:tcPr>
            <w:tcW w:w="2339" w:type="dxa"/>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R</w:t>
            </w:r>
            <w:r w:rsidRPr="00171879">
              <w:rPr>
                <w:color w:val="000000"/>
                <w:sz w:val="22"/>
                <w:szCs w:val="22"/>
                <w:vertAlign w:val="superscript"/>
              </w:rPr>
              <w:t>2</w:t>
            </w:r>
          </w:p>
        </w:tc>
        <w:tc>
          <w:tcPr>
            <w:tcW w:w="236" w:type="dxa"/>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c>
          <w:tcPr>
            <w:tcW w:w="1474" w:type="dxa"/>
            <w:gridSpan w:val="4"/>
            <w:tcBorders>
              <w:bottom w:val="single" w:sz="4" w:space="0" w:color="auto"/>
            </w:tcBorders>
            <w:shd w:val="clear" w:color="auto" w:fill="auto"/>
            <w:noWrap/>
            <w:vAlign w:val="bottom"/>
            <w:hideMark/>
          </w:tcPr>
          <w:p w:rsidR="00BD139B" w:rsidRPr="00171879" w:rsidRDefault="00BD139B" w:rsidP="006322C0">
            <w:pPr>
              <w:jc w:val="right"/>
              <w:rPr>
                <w:color w:val="000000"/>
                <w:sz w:val="22"/>
                <w:szCs w:val="22"/>
              </w:rPr>
            </w:pPr>
            <w:r w:rsidRPr="00171879">
              <w:rPr>
                <w:color w:val="000000"/>
                <w:sz w:val="22"/>
                <w:szCs w:val="22"/>
              </w:rPr>
              <w:t>0.2</w:t>
            </w:r>
            <w:r w:rsidR="006322C0">
              <w:rPr>
                <w:color w:val="000000"/>
                <w:sz w:val="22"/>
                <w:szCs w:val="22"/>
              </w:rPr>
              <w:t>16</w:t>
            </w:r>
          </w:p>
        </w:tc>
        <w:tc>
          <w:tcPr>
            <w:tcW w:w="188" w:type="dxa"/>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c>
          <w:tcPr>
            <w:tcW w:w="696" w:type="dxa"/>
            <w:gridSpan w:val="6"/>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c>
          <w:tcPr>
            <w:tcW w:w="1742" w:type="dxa"/>
            <w:gridSpan w:val="5"/>
            <w:tcBorders>
              <w:bottom w:val="single" w:sz="4" w:space="0" w:color="auto"/>
            </w:tcBorders>
            <w:shd w:val="clear" w:color="auto" w:fill="auto"/>
            <w:noWrap/>
            <w:vAlign w:val="bottom"/>
            <w:hideMark/>
          </w:tcPr>
          <w:p w:rsidR="00BD139B" w:rsidRPr="00171879" w:rsidRDefault="00BD139B" w:rsidP="00F6649D">
            <w:pPr>
              <w:jc w:val="right"/>
              <w:rPr>
                <w:color w:val="000000"/>
                <w:sz w:val="22"/>
                <w:szCs w:val="22"/>
              </w:rPr>
            </w:pPr>
            <w:r w:rsidRPr="00171879">
              <w:rPr>
                <w:color w:val="000000"/>
                <w:sz w:val="22"/>
                <w:szCs w:val="22"/>
              </w:rPr>
              <w:t>0.4</w:t>
            </w:r>
            <w:r w:rsidR="006322C0">
              <w:rPr>
                <w:color w:val="000000"/>
                <w:sz w:val="22"/>
                <w:szCs w:val="22"/>
              </w:rPr>
              <w:t>66</w:t>
            </w:r>
          </w:p>
        </w:tc>
        <w:tc>
          <w:tcPr>
            <w:tcW w:w="728" w:type="dxa"/>
            <w:gridSpan w:val="3"/>
            <w:tcBorders>
              <w:bottom w:val="single" w:sz="4" w:space="0" w:color="auto"/>
            </w:tcBorders>
            <w:shd w:val="clear" w:color="auto" w:fill="auto"/>
            <w:noWrap/>
            <w:vAlign w:val="bottom"/>
            <w:hideMark/>
          </w:tcPr>
          <w:p w:rsidR="00BD139B" w:rsidRPr="00171879" w:rsidRDefault="00BD139B" w:rsidP="00F6649D">
            <w:pPr>
              <w:rPr>
                <w:color w:val="000000"/>
                <w:sz w:val="22"/>
                <w:szCs w:val="22"/>
              </w:rPr>
            </w:pPr>
            <w:r w:rsidRPr="00171879">
              <w:rPr>
                <w:color w:val="000000"/>
                <w:sz w:val="22"/>
                <w:szCs w:val="22"/>
              </w:rPr>
              <w:t> </w:t>
            </w:r>
          </w:p>
        </w:tc>
      </w:tr>
      <w:tr w:rsidR="00E34B51" w:rsidRPr="00171879" w:rsidTr="00AC36AE">
        <w:trPr>
          <w:gridAfter w:val="5"/>
          <w:wAfter w:w="152" w:type="dxa"/>
          <w:trHeight w:val="216"/>
        </w:trPr>
        <w:tc>
          <w:tcPr>
            <w:tcW w:w="2339" w:type="dxa"/>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c>
          <w:tcPr>
            <w:tcW w:w="236" w:type="dxa"/>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c>
          <w:tcPr>
            <w:tcW w:w="1474" w:type="dxa"/>
            <w:gridSpan w:val="4"/>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c>
          <w:tcPr>
            <w:tcW w:w="188" w:type="dxa"/>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c>
          <w:tcPr>
            <w:tcW w:w="696" w:type="dxa"/>
            <w:gridSpan w:val="6"/>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c>
          <w:tcPr>
            <w:tcW w:w="1742" w:type="dxa"/>
            <w:gridSpan w:val="5"/>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c>
          <w:tcPr>
            <w:tcW w:w="728" w:type="dxa"/>
            <w:gridSpan w:val="3"/>
            <w:tcBorders>
              <w:top w:val="single" w:sz="4" w:space="0" w:color="auto"/>
            </w:tcBorders>
            <w:shd w:val="clear" w:color="auto" w:fill="auto"/>
            <w:noWrap/>
            <w:vAlign w:val="bottom"/>
            <w:hideMark/>
          </w:tcPr>
          <w:p w:rsidR="00BD139B" w:rsidRPr="00171879" w:rsidRDefault="00BD139B" w:rsidP="00F6649D">
            <w:pPr>
              <w:rPr>
                <w:color w:val="000000"/>
                <w:sz w:val="22"/>
                <w:szCs w:val="22"/>
              </w:rPr>
            </w:pPr>
          </w:p>
        </w:tc>
      </w:tr>
      <w:tr w:rsidR="00BD139B" w:rsidRPr="00171879" w:rsidTr="00AC36AE">
        <w:trPr>
          <w:trHeight w:val="216"/>
        </w:trPr>
        <w:tc>
          <w:tcPr>
            <w:tcW w:w="7555" w:type="dxa"/>
            <w:gridSpan w:val="26"/>
            <w:shd w:val="clear" w:color="auto" w:fill="auto"/>
            <w:noWrap/>
            <w:vAlign w:val="bottom"/>
            <w:hideMark/>
          </w:tcPr>
          <w:p w:rsidR="00BD139B" w:rsidRPr="00171879" w:rsidRDefault="00BD139B" w:rsidP="00C746ED">
            <w:pPr>
              <w:rPr>
                <w:color w:val="000000"/>
                <w:sz w:val="22"/>
                <w:szCs w:val="22"/>
              </w:rPr>
            </w:pPr>
            <w:r w:rsidRPr="00171879">
              <w:rPr>
                <w:color w:val="000000"/>
                <w:sz w:val="22"/>
                <w:szCs w:val="22"/>
              </w:rPr>
              <w:t xml:space="preserve">Note:  </w:t>
            </w:r>
            <w:r w:rsidR="00C746ED">
              <w:rPr>
                <w:color w:val="000000"/>
                <w:sz w:val="22"/>
                <w:szCs w:val="22"/>
              </w:rPr>
              <w:t>R</w:t>
            </w:r>
            <w:r w:rsidR="00C746ED" w:rsidRPr="00171879">
              <w:rPr>
                <w:color w:val="000000"/>
                <w:sz w:val="22"/>
                <w:szCs w:val="22"/>
              </w:rPr>
              <w:t xml:space="preserve">obust </w:t>
            </w:r>
            <w:r w:rsidR="00C746ED">
              <w:rPr>
                <w:color w:val="000000"/>
                <w:sz w:val="22"/>
                <w:szCs w:val="22"/>
              </w:rPr>
              <w:t>s</w:t>
            </w:r>
            <w:r w:rsidRPr="00171879">
              <w:rPr>
                <w:color w:val="000000"/>
                <w:sz w:val="22"/>
                <w:szCs w:val="22"/>
              </w:rPr>
              <w:t>tandard errors in parenthes</w:t>
            </w:r>
            <w:r w:rsidR="00442A55">
              <w:rPr>
                <w:color w:val="000000"/>
                <w:sz w:val="22"/>
                <w:szCs w:val="22"/>
              </w:rPr>
              <w:t>e</w:t>
            </w:r>
            <w:r w:rsidR="00C746ED">
              <w:rPr>
                <w:color w:val="000000"/>
                <w:sz w:val="22"/>
                <w:szCs w:val="22"/>
              </w:rPr>
              <w:t>s</w:t>
            </w:r>
            <w:r w:rsidR="00442A55">
              <w:rPr>
                <w:color w:val="000000"/>
                <w:sz w:val="22"/>
                <w:szCs w:val="22"/>
              </w:rPr>
              <w:t>.</w:t>
            </w:r>
          </w:p>
        </w:tc>
      </w:tr>
      <w:tr w:rsidR="00E34B51" w:rsidRPr="00171879" w:rsidTr="00AC36AE">
        <w:trPr>
          <w:gridAfter w:val="2"/>
          <w:wAfter w:w="92" w:type="dxa"/>
          <w:trHeight w:val="216"/>
        </w:trPr>
        <w:tc>
          <w:tcPr>
            <w:tcW w:w="7463" w:type="dxa"/>
            <w:gridSpan w:val="24"/>
            <w:shd w:val="clear" w:color="auto" w:fill="auto"/>
            <w:noWrap/>
            <w:vAlign w:val="bottom"/>
            <w:hideMark/>
          </w:tcPr>
          <w:p w:rsidR="00E34B51" w:rsidRPr="00171879" w:rsidRDefault="00E34B51" w:rsidP="00F6649D">
            <w:pPr>
              <w:rPr>
                <w:color w:val="000000"/>
                <w:sz w:val="22"/>
                <w:szCs w:val="22"/>
              </w:rPr>
            </w:pPr>
            <w:r w:rsidRPr="00171879">
              <w:rPr>
                <w:color w:val="000000"/>
                <w:sz w:val="22"/>
                <w:szCs w:val="22"/>
              </w:rPr>
              <w:t>* denotes significance at the .10 level</w:t>
            </w:r>
          </w:p>
        </w:tc>
      </w:tr>
      <w:tr w:rsidR="00E34B51" w:rsidRPr="00171879" w:rsidTr="00AC36AE">
        <w:trPr>
          <w:gridAfter w:val="2"/>
          <w:wAfter w:w="92" w:type="dxa"/>
          <w:trHeight w:val="216"/>
        </w:trPr>
        <w:tc>
          <w:tcPr>
            <w:tcW w:w="7463" w:type="dxa"/>
            <w:gridSpan w:val="24"/>
            <w:shd w:val="clear" w:color="auto" w:fill="auto"/>
            <w:noWrap/>
            <w:vAlign w:val="bottom"/>
            <w:hideMark/>
          </w:tcPr>
          <w:p w:rsidR="00E34B51" w:rsidRPr="00171879" w:rsidRDefault="00E34B51" w:rsidP="00F6649D">
            <w:pPr>
              <w:rPr>
                <w:color w:val="000000"/>
                <w:sz w:val="22"/>
                <w:szCs w:val="22"/>
              </w:rPr>
            </w:pPr>
            <w:r w:rsidRPr="00171879">
              <w:rPr>
                <w:color w:val="000000"/>
                <w:sz w:val="22"/>
                <w:szCs w:val="22"/>
              </w:rPr>
              <w:t>** denotes significance at the .05 level</w:t>
            </w:r>
          </w:p>
        </w:tc>
      </w:tr>
      <w:tr w:rsidR="00E34B51" w:rsidRPr="00171879" w:rsidTr="00AC36AE">
        <w:trPr>
          <w:gridAfter w:val="2"/>
          <w:wAfter w:w="92" w:type="dxa"/>
          <w:trHeight w:val="216"/>
        </w:trPr>
        <w:tc>
          <w:tcPr>
            <w:tcW w:w="7463" w:type="dxa"/>
            <w:gridSpan w:val="24"/>
            <w:shd w:val="clear" w:color="auto" w:fill="auto"/>
            <w:noWrap/>
            <w:vAlign w:val="bottom"/>
            <w:hideMark/>
          </w:tcPr>
          <w:p w:rsidR="00E34B51" w:rsidRPr="00171879" w:rsidRDefault="00E34B51" w:rsidP="00F6649D">
            <w:pPr>
              <w:rPr>
                <w:color w:val="000000"/>
                <w:sz w:val="22"/>
                <w:szCs w:val="22"/>
              </w:rPr>
            </w:pPr>
            <w:r w:rsidRPr="00171879">
              <w:rPr>
                <w:color w:val="000000"/>
                <w:sz w:val="22"/>
                <w:szCs w:val="22"/>
              </w:rPr>
              <w:t>*** denotes significance at the .01 level</w:t>
            </w:r>
          </w:p>
        </w:tc>
      </w:tr>
    </w:tbl>
    <w:p w:rsidR="00BD139B" w:rsidRDefault="00BD139B" w:rsidP="00776BD1">
      <w:pPr>
        <w:spacing w:line="360" w:lineRule="auto"/>
        <w:rPr>
          <w:b/>
        </w:rPr>
      </w:pPr>
    </w:p>
    <w:p w:rsidR="00810A07" w:rsidRDefault="00810A07" w:rsidP="00776BD1">
      <w:pPr>
        <w:spacing w:line="360" w:lineRule="auto"/>
        <w:rPr>
          <w:b/>
        </w:rPr>
      </w:pPr>
      <w:r>
        <w:rPr>
          <w:b/>
        </w:rPr>
        <w:br w:type="page"/>
      </w:r>
    </w:p>
    <w:tbl>
      <w:tblPr>
        <w:tblW w:w="7470" w:type="dxa"/>
        <w:tblInd w:w="734" w:type="dxa"/>
        <w:tblCellMar>
          <w:left w:w="14" w:type="dxa"/>
          <w:right w:w="14" w:type="dxa"/>
        </w:tblCellMar>
        <w:tblLook w:val="04A0" w:firstRow="1" w:lastRow="0" w:firstColumn="1" w:lastColumn="0" w:noHBand="0" w:noVBand="1"/>
      </w:tblPr>
      <w:tblGrid>
        <w:gridCol w:w="3771"/>
        <w:gridCol w:w="546"/>
        <w:gridCol w:w="1417"/>
        <w:gridCol w:w="968"/>
        <w:gridCol w:w="768"/>
      </w:tblGrid>
      <w:tr w:rsidR="00C4026E" w:rsidTr="00EF6EF3">
        <w:trPr>
          <w:trHeight w:val="300"/>
        </w:trPr>
        <w:tc>
          <w:tcPr>
            <w:tcW w:w="7470" w:type="dxa"/>
            <w:gridSpan w:val="5"/>
            <w:tcBorders>
              <w:top w:val="single" w:sz="4" w:space="0" w:color="auto"/>
            </w:tcBorders>
            <w:shd w:val="clear" w:color="auto" w:fill="auto"/>
            <w:vAlign w:val="bottom"/>
            <w:hideMark/>
          </w:tcPr>
          <w:p w:rsidR="00C4026E" w:rsidRDefault="00C4026E" w:rsidP="00B2186A">
            <w:pPr>
              <w:rPr>
                <w:b/>
                <w:bCs/>
                <w:color w:val="000000"/>
                <w:sz w:val="22"/>
                <w:szCs w:val="22"/>
              </w:rPr>
            </w:pPr>
            <w:r w:rsidRPr="00171879">
              <w:rPr>
                <w:b/>
                <w:bCs/>
                <w:color w:val="000000"/>
                <w:sz w:val="22"/>
                <w:szCs w:val="22"/>
              </w:rPr>
              <w:lastRenderedPageBreak/>
              <w:t xml:space="preserve">Table 3. </w:t>
            </w:r>
            <w:r w:rsidR="00804823">
              <w:rPr>
                <w:b/>
                <w:bCs/>
                <w:color w:val="000000"/>
                <w:sz w:val="22"/>
                <w:szCs w:val="22"/>
              </w:rPr>
              <w:t>First Stage Results</w:t>
            </w:r>
          </w:p>
          <w:p w:rsidR="00EF6EF3" w:rsidRPr="00171879" w:rsidRDefault="00EF6EF3" w:rsidP="00D567E8">
            <w:pPr>
              <w:rPr>
                <w:color w:val="000000"/>
                <w:sz w:val="22"/>
                <w:szCs w:val="22"/>
              </w:rPr>
            </w:pPr>
          </w:p>
        </w:tc>
      </w:tr>
      <w:tr w:rsidR="00AC7887" w:rsidTr="00EF6EF3">
        <w:trPr>
          <w:trHeight w:val="300"/>
        </w:trPr>
        <w:tc>
          <w:tcPr>
            <w:tcW w:w="3771" w:type="dxa"/>
            <w:tcBorders>
              <w:bottom w:val="single" w:sz="4" w:space="0" w:color="auto"/>
            </w:tcBorders>
            <w:shd w:val="clear" w:color="auto" w:fill="auto"/>
            <w:noWrap/>
            <w:vAlign w:val="bottom"/>
            <w:hideMark/>
          </w:tcPr>
          <w:p w:rsidR="00AC7887" w:rsidRPr="0040446D" w:rsidRDefault="00AC7887" w:rsidP="0040446D">
            <w:pPr>
              <w:jc w:val="center"/>
              <w:rPr>
                <w:b/>
                <w:color w:val="000000"/>
                <w:sz w:val="22"/>
                <w:szCs w:val="22"/>
              </w:rPr>
            </w:pPr>
            <w:r w:rsidRPr="0040446D">
              <w:rPr>
                <w:b/>
                <w:color w:val="000000"/>
                <w:sz w:val="22"/>
                <w:szCs w:val="22"/>
              </w:rPr>
              <w:t xml:space="preserve">Variable </w:t>
            </w:r>
          </w:p>
        </w:tc>
        <w:tc>
          <w:tcPr>
            <w:tcW w:w="546" w:type="dxa"/>
            <w:tcBorders>
              <w:bottom w:val="single" w:sz="4" w:space="0" w:color="auto"/>
            </w:tcBorders>
            <w:shd w:val="clear" w:color="auto" w:fill="auto"/>
            <w:noWrap/>
            <w:vAlign w:val="bottom"/>
            <w:hideMark/>
          </w:tcPr>
          <w:p w:rsidR="00AC7887" w:rsidRPr="00171879" w:rsidRDefault="00AC7887">
            <w:pPr>
              <w:jc w:val="center"/>
              <w:rPr>
                <w:color w:val="000000"/>
                <w:sz w:val="22"/>
                <w:szCs w:val="22"/>
              </w:rPr>
            </w:pPr>
            <w:r w:rsidRPr="00171879">
              <w:rPr>
                <w:color w:val="000000"/>
                <w:sz w:val="22"/>
                <w:szCs w:val="22"/>
              </w:rPr>
              <w:t> </w:t>
            </w:r>
          </w:p>
        </w:tc>
        <w:tc>
          <w:tcPr>
            <w:tcW w:w="2385" w:type="dxa"/>
            <w:gridSpan w:val="2"/>
            <w:tcBorders>
              <w:bottom w:val="single" w:sz="4" w:space="0" w:color="auto"/>
            </w:tcBorders>
            <w:shd w:val="clear" w:color="auto" w:fill="auto"/>
            <w:noWrap/>
            <w:vAlign w:val="bottom"/>
            <w:hideMark/>
          </w:tcPr>
          <w:p w:rsidR="00AC7887" w:rsidRPr="006F1226" w:rsidRDefault="006F1226" w:rsidP="00C746ED">
            <w:pPr>
              <w:jc w:val="center"/>
              <w:rPr>
                <w:b/>
                <w:color w:val="000000"/>
                <w:sz w:val="22"/>
                <w:szCs w:val="22"/>
              </w:rPr>
            </w:pPr>
            <w:r w:rsidRPr="006F1226">
              <w:rPr>
                <w:b/>
                <w:color w:val="000000"/>
                <w:sz w:val="22"/>
                <w:szCs w:val="22"/>
              </w:rPr>
              <w:t>Coefficients</w:t>
            </w:r>
          </w:p>
        </w:tc>
        <w:tc>
          <w:tcPr>
            <w:tcW w:w="768" w:type="dxa"/>
            <w:tcBorders>
              <w:bottom w:val="single" w:sz="4" w:space="0" w:color="auto"/>
            </w:tcBorders>
            <w:shd w:val="clear" w:color="auto" w:fill="auto"/>
            <w:noWrap/>
            <w:vAlign w:val="bottom"/>
            <w:hideMark/>
          </w:tcPr>
          <w:p w:rsidR="00AC7887" w:rsidRPr="00171879" w:rsidRDefault="00AC7887">
            <w:pPr>
              <w:rPr>
                <w:color w:val="000000"/>
                <w:sz w:val="22"/>
                <w:szCs w:val="22"/>
              </w:rPr>
            </w:pPr>
            <w:r w:rsidRPr="00171879">
              <w:rPr>
                <w:color w:val="000000"/>
                <w:sz w:val="22"/>
                <w:szCs w:val="22"/>
              </w:rPr>
              <w:t> </w:t>
            </w:r>
          </w:p>
        </w:tc>
      </w:tr>
      <w:tr w:rsidR="00AC7887" w:rsidTr="00EF6EF3">
        <w:trPr>
          <w:trHeight w:val="300"/>
        </w:trPr>
        <w:tc>
          <w:tcPr>
            <w:tcW w:w="3771" w:type="dxa"/>
            <w:tcBorders>
              <w:top w:val="single" w:sz="4" w:space="0" w:color="auto"/>
            </w:tcBorders>
            <w:shd w:val="clear" w:color="auto" w:fill="auto"/>
            <w:noWrap/>
            <w:vAlign w:val="bottom"/>
            <w:hideMark/>
          </w:tcPr>
          <w:p w:rsidR="00AC7887" w:rsidRPr="00171879" w:rsidRDefault="00AC7887">
            <w:pPr>
              <w:jc w:val="center"/>
              <w:rPr>
                <w:i/>
                <w:iCs/>
                <w:color w:val="000000"/>
                <w:sz w:val="22"/>
                <w:szCs w:val="22"/>
              </w:rPr>
            </w:pPr>
            <w:proofErr w:type="spellStart"/>
            <w:r w:rsidRPr="00171879">
              <w:rPr>
                <w:i/>
                <w:iCs/>
                <w:color w:val="000000"/>
                <w:sz w:val="22"/>
                <w:szCs w:val="22"/>
              </w:rPr>
              <w:t>DifRate</w:t>
            </w:r>
            <w:proofErr w:type="spellEnd"/>
          </w:p>
        </w:tc>
        <w:tc>
          <w:tcPr>
            <w:tcW w:w="546" w:type="dxa"/>
            <w:tcBorders>
              <w:top w:val="single" w:sz="4" w:space="0" w:color="auto"/>
            </w:tcBorders>
            <w:shd w:val="clear" w:color="auto" w:fill="auto"/>
            <w:noWrap/>
            <w:vAlign w:val="bottom"/>
            <w:hideMark/>
          </w:tcPr>
          <w:p w:rsidR="00AC7887" w:rsidRPr="00171879" w:rsidRDefault="00AC7887">
            <w:pPr>
              <w:rPr>
                <w:color w:val="000000"/>
                <w:sz w:val="22"/>
                <w:szCs w:val="22"/>
              </w:rPr>
            </w:pPr>
          </w:p>
        </w:tc>
        <w:tc>
          <w:tcPr>
            <w:tcW w:w="1417" w:type="dxa"/>
            <w:tcBorders>
              <w:top w:val="single" w:sz="4" w:space="0" w:color="auto"/>
            </w:tcBorders>
            <w:shd w:val="clear" w:color="auto" w:fill="auto"/>
            <w:noWrap/>
            <w:vAlign w:val="bottom"/>
          </w:tcPr>
          <w:p w:rsidR="00AC7887" w:rsidRPr="00171879" w:rsidRDefault="00C4026E" w:rsidP="00DD3F81">
            <w:pPr>
              <w:jc w:val="right"/>
              <w:rPr>
                <w:color w:val="000000"/>
                <w:sz w:val="22"/>
                <w:szCs w:val="22"/>
              </w:rPr>
            </w:pPr>
            <w:r>
              <w:rPr>
                <w:color w:val="000000"/>
                <w:sz w:val="22"/>
                <w:szCs w:val="22"/>
              </w:rPr>
              <w:t>0.2</w:t>
            </w:r>
            <w:r w:rsidR="00DD3F81">
              <w:rPr>
                <w:color w:val="000000"/>
                <w:sz w:val="22"/>
                <w:szCs w:val="22"/>
              </w:rPr>
              <w:t>42</w:t>
            </w:r>
          </w:p>
        </w:tc>
        <w:tc>
          <w:tcPr>
            <w:tcW w:w="968" w:type="dxa"/>
            <w:tcBorders>
              <w:top w:val="single" w:sz="4" w:space="0" w:color="auto"/>
            </w:tcBorders>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rsidP="00DD3F81">
            <w:pPr>
              <w:jc w:val="right"/>
              <w:rPr>
                <w:color w:val="000000"/>
                <w:sz w:val="22"/>
                <w:szCs w:val="22"/>
              </w:rPr>
            </w:pPr>
            <w:r>
              <w:rPr>
                <w:color w:val="000000"/>
                <w:sz w:val="22"/>
                <w:szCs w:val="22"/>
              </w:rPr>
              <w:t>(0.02</w:t>
            </w:r>
            <w:r w:rsidR="00DD3F81">
              <w:rPr>
                <w:color w:val="000000"/>
                <w:sz w:val="22"/>
                <w:szCs w:val="22"/>
              </w:rPr>
              <w:t>1</w:t>
            </w:r>
            <w:r>
              <w:rPr>
                <w:color w:val="000000"/>
                <w:sz w:val="22"/>
                <w:szCs w:val="22"/>
              </w:rPr>
              <w:t>)</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jc w:val="center"/>
              <w:rPr>
                <w:i/>
                <w:iCs/>
                <w:color w:val="000000"/>
                <w:sz w:val="22"/>
                <w:szCs w:val="22"/>
              </w:rPr>
            </w:pPr>
            <w:proofErr w:type="spellStart"/>
            <w:r w:rsidRPr="00171879">
              <w:rPr>
                <w:i/>
                <w:iCs/>
                <w:color w:val="000000"/>
                <w:sz w:val="22"/>
                <w:szCs w:val="22"/>
              </w:rPr>
              <w:t>Reg</w:t>
            </w:r>
            <w:proofErr w:type="spellEnd"/>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rsidP="00DD3F81">
            <w:pPr>
              <w:jc w:val="right"/>
              <w:rPr>
                <w:color w:val="000000"/>
                <w:sz w:val="22"/>
                <w:szCs w:val="22"/>
              </w:rPr>
            </w:pPr>
            <w:r>
              <w:rPr>
                <w:color w:val="000000"/>
                <w:sz w:val="22"/>
                <w:szCs w:val="22"/>
              </w:rPr>
              <w:t>-0.00</w:t>
            </w:r>
            <w:r w:rsidR="00DD3F81">
              <w:rPr>
                <w:color w:val="000000"/>
                <w:sz w:val="22"/>
                <w:szCs w:val="22"/>
              </w:rPr>
              <w:t>1</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DD3F81">
            <w:pPr>
              <w:jc w:val="right"/>
              <w:rPr>
                <w:color w:val="000000"/>
                <w:sz w:val="22"/>
                <w:szCs w:val="22"/>
              </w:rPr>
            </w:pPr>
            <w:r>
              <w:rPr>
                <w:color w:val="000000"/>
                <w:sz w:val="22"/>
                <w:szCs w:val="22"/>
              </w:rPr>
              <w:t>(0.0004)</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jc w:val="center"/>
              <w:rPr>
                <w:i/>
                <w:iCs/>
                <w:color w:val="000000"/>
                <w:sz w:val="22"/>
                <w:szCs w:val="22"/>
              </w:rPr>
            </w:pPr>
            <w:r w:rsidRPr="00171879">
              <w:rPr>
                <w:i/>
                <w:iCs/>
                <w:color w:val="000000"/>
                <w:sz w:val="22"/>
                <w:szCs w:val="22"/>
              </w:rPr>
              <w:t>Wage</w:t>
            </w: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rsidP="00C4026E">
            <w:pPr>
              <w:jc w:val="right"/>
              <w:rPr>
                <w:color w:val="000000"/>
                <w:sz w:val="22"/>
                <w:szCs w:val="22"/>
              </w:rPr>
            </w:pPr>
            <w:r>
              <w:rPr>
                <w:color w:val="000000"/>
                <w:sz w:val="22"/>
                <w:szCs w:val="22"/>
              </w:rPr>
              <w:t>0.0003</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(0.0000)</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tcPr>
          <w:p w:rsidR="00AC7887" w:rsidRPr="00171879" w:rsidRDefault="00AC7887">
            <w:pPr>
              <w:jc w:val="center"/>
              <w:rPr>
                <w:i/>
                <w:iCs/>
                <w:color w:val="000000"/>
                <w:sz w:val="22"/>
                <w:szCs w:val="22"/>
              </w:rPr>
            </w:pPr>
            <w:r w:rsidRPr="00171879">
              <w:rPr>
                <w:i/>
                <w:iCs/>
                <w:color w:val="000000"/>
                <w:sz w:val="22"/>
                <w:szCs w:val="22"/>
              </w:rPr>
              <w:t>Metro</w:t>
            </w: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-0.0001</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tcPr>
          <w:p w:rsidR="00AC7887" w:rsidRPr="00171879" w:rsidRDefault="00AC7887">
            <w:pPr>
              <w:jc w:val="center"/>
              <w:rPr>
                <w:i/>
                <w:iCs/>
                <w:color w:val="000000"/>
                <w:sz w:val="22"/>
                <w:szCs w:val="22"/>
              </w:rPr>
            </w:pP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DD3F81">
            <w:pPr>
              <w:jc w:val="right"/>
              <w:rPr>
                <w:color w:val="000000"/>
                <w:sz w:val="22"/>
                <w:szCs w:val="22"/>
              </w:rPr>
            </w:pPr>
            <w:r>
              <w:rPr>
                <w:color w:val="000000"/>
                <w:sz w:val="22"/>
                <w:szCs w:val="22"/>
              </w:rPr>
              <w:t>(0.00001</w:t>
            </w:r>
            <w:r w:rsidR="00C4026E">
              <w:rPr>
                <w:color w:val="000000"/>
                <w:sz w:val="22"/>
                <w:szCs w:val="22"/>
              </w:rPr>
              <w:t>)</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tcPr>
          <w:p w:rsidR="00AC7887" w:rsidRPr="00171879" w:rsidRDefault="00AC7887">
            <w:pPr>
              <w:jc w:val="center"/>
              <w:rPr>
                <w:i/>
                <w:iCs/>
                <w:color w:val="000000"/>
                <w:sz w:val="22"/>
                <w:szCs w:val="22"/>
              </w:rPr>
            </w:pPr>
            <w:r>
              <w:rPr>
                <w:i/>
                <w:iCs/>
                <w:color w:val="000000"/>
                <w:sz w:val="22"/>
                <w:szCs w:val="22"/>
              </w:rPr>
              <w:t>PIT</w:t>
            </w: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rsidP="00DD3F81">
            <w:pPr>
              <w:jc w:val="right"/>
              <w:rPr>
                <w:color w:val="000000"/>
                <w:sz w:val="22"/>
                <w:szCs w:val="22"/>
              </w:rPr>
            </w:pPr>
            <w:r>
              <w:rPr>
                <w:color w:val="000000"/>
                <w:sz w:val="22"/>
                <w:szCs w:val="22"/>
              </w:rPr>
              <w:t>0.1</w:t>
            </w:r>
            <w:r w:rsidR="00DD3F81">
              <w:rPr>
                <w:color w:val="000000"/>
                <w:sz w:val="22"/>
                <w:szCs w:val="22"/>
              </w:rPr>
              <w:t>49</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tcPr>
          <w:p w:rsidR="00AC7887" w:rsidRPr="00171879" w:rsidRDefault="00AC7887">
            <w:pPr>
              <w:jc w:val="center"/>
              <w:rPr>
                <w:i/>
                <w:iCs/>
                <w:color w:val="000000"/>
                <w:sz w:val="22"/>
                <w:szCs w:val="22"/>
              </w:rPr>
            </w:pP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(0.023)</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jc w:val="center"/>
              <w:rPr>
                <w:i/>
                <w:iCs/>
                <w:color w:val="000000"/>
                <w:sz w:val="22"/>
                <w:szCs w:val="22"/>
              </w:rPr>
            </w:pPr>
            <w:r>
              <w:rPr>
                <w:i/>
                <w:iCs/>
                <w:color w:val="000000"/>
                <w:sz w:val="22"/>
                <w:szCs w:val="22"/>
              </w:rPr>
              <w:t>ST</w:t>
            </w: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rsidP="00DD3F81">
            <w:pPr>
              <w:jc w:val="right"/>
              <w:rPr>
                <w:color w:val="000000"/>
                <w:sz w:val="22"/>
                <w:szCs w:val="22"/>
              </w:rPr>
            </w:pPr>
            <w:r>
              <w:rPr>
                <w:color w:val="000000"/>
                <w:sz w:val="22"/>
                <w:szCs w:val="22"/>
              </w:rPr>
              <w:t>0.1</w:t>
            </w:r>
            <w:r w:rsidR="00DD3F81">
              <w:rPr>
                <w:color w:val="000000"/>
                <w:sz w:val="22"/>
                <w:szCs w:val="22"/>
              </w:rPr>
              <w:t>64</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(0.023)</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jc w:val="center"/>
              <w:rPr>
                <w:i/>
                <w:iCs/>
                <w:color w:val="000000"/>
                <w:sz w:val="22"/>
                <w:szCs w:val="22"/>
              </w:rPr>
            </w:pPr>
            <w:r w:rsidRPr="00171879">
              <w:rPr>
                <w:i/>
                <w:iCs/>
                <w:color w:val="000000"/>
                <w:sz w:val="22"/>
                <w:szCs w:val="22"/>
              </w:rPr>
              <w:t>BA</w:t>
            </w: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rsidP="00DD3F81">
            <w:pPr>
              <w:jc w:val="right"/>
              <w:rPr>
                <w:color w:val="000000"/>
                <w:sz w:val="22"/>
                <w:szCs w:val="22"/>
              </w:rPr>
            </w:pPr>
            <w:r>
              <w:rPr>
                <w:color w:val="000000"/>
                <w:sz w:val="22"/>
                <w:szCs w:val="22"/>
              </w:rPr>
              <w:t>-0.000</w:t>
            </w:r>
            <w:r w:rsidR="00DD3F81">
              <w:rPr>
                <w:color w:val="000000"/>
                <w:sz w:val="22"/>
                <w:szCs w:val="22"/>
              </w:rPr>
              <w:t>1</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(0.0001)</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tcPr>
          <w:p w:rsidR="00AC7887" w:rsidRPr="00171879" w:rsidRDefault="00AC7887">
            <w:pPr>
              <w:jc w:val="center"/>
              <w:rPr>
                <w:i/>
                <w:iCs/>
                <w:color w:val="000000"/>
                <w:sz w:val="22"/>
                <w:szCs w:val="22"/>
              </w:rPr>
            </w:pPr>
            <w:r w:rsidRPr="00171879">
              <w:rPr>
                <w:i/>
                <w:iCs/>
                <w:color w:val="000000"/>
                <w:sz w:val="22"/>
                <w:szCs w:val="22"/>
              </w:rPr>
              <w:t>Over65</w:t>
            </w: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-0.001</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tcPr>
          <w:p w:rsidR="00AC7887" w:rsidRPr="00171879" w:rsidRDefault="00AC7887">
            <w:pPr>
              <w:jc w:val="center"/>
              <w:rPr>
                <w:i/>
                <w:iCs/>
                <w:color w:val="000000"/>
                <w:sz w:val="22"/>
                <w:szCs w:val="22"/>
              </w:rPr>
            </w:pP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(0.0001)</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jc w:val="center"/>
              <w:rPr>
                <w:i/>
                <w:iCs/>
                <w:color w:val="000000"/>
                <w:sz w:val="22"/>
                <w:szCs w:val="22"/>
              </w:rPr>
            </w:pPr>
            <w:r w:rsidRPr="00171879">
              <w:rPr>
                <w:i/>
                <w:iCs/>
                <w:color w:val="000000"/>
                <w:sz w:val="22"/>
                <w:szCs w:val="22"/>
              </w:rPr>
              <w:t>MFG</w:t>
            </w: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-0.0006</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(0.0000)</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300"/>
        </w:trPr>
        <w:tc>
          <w:tcPr>
            <w:tcW w:w="3771" w:type="dxa"/>
            <w:shd w:val="clear" w:color="auto" w:fill="auto"/>
            <w:noWrap/>
            <w:vAlign w:val="bottom"/>
            <w:hideMark/>
          </w:tcPr>
          <w:p w:rsidR="00AC7887" w:rsidRPr="00171879" w:rsidRDefault="00AC7887">
            <w:pPr>
              <w:jc w:val="center"/>
              <w:rPr>
                <w:i/>
                <w:iCs/>
                <w:color w:val="000000"/>
                <w:sz w:val="22"/>
                <w:szCs w:val="22"/>
              </w:rPr>
            </w:pPr>
            <w:proofErr w:type="spellStart"/>
            <w:r>
              <w:rPr>
                <w:i/>
                <w:iCs/>
                <w:color w:val="000000"/>
                <w:sz w:val="22"/>
                <w:szCs w:val="22"/>
              </w:rPr>
              <w:t>PCInc</w:t>
            </w:r>
            <w:proofErr w:type="spellEnd"/>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-0.008</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(0.0001)</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tcPr>
          <w:p w:rsidR="00AC7887" w:rsidRPr="00171879" w:rsidRDefault="00AC7887">
            <w:pPr>
              <w:jc w:val="center"/>
              <w:rPr>
                <w:i/>
                <w:iCs/>
                <w:color w:val="000000"/>
                <w:sz w:val="22"/>
                <w:szCs w:val="22"/>
              </w:rPr>
            </w:pPr>
            <w:r>
              <w:rPr>
                <w:i/>
                <w:iCs/>
                <w:color w:val="000000"/>
                <w:sz w:val="22"/>
                <w:szCs w:val="22"/>
              </w:rPr>
              <w:t>HI</w:t>
            </w: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DD3F81" w:rsidP="00DD3F81">
            <w:pPr>
              <w:jc w:val="right"/>
              <w:rPr>
                <w:color w:val="000000"/>
                <w:sz w:val="22"/>
                <w:szCs w:val="22"/>
              </w:rPr>
            </w:pPr>
            <w:r>
              <w:rPr>
                <w:color w:val="000000"/>
                <w:sz w:val="22"/>
                <w:szCs w:val="22"/>
              </w:rPr>
              <w:t>-</w:t>
            </w:r>
            <w:r w:rsidR="00C4026E">
              <w:rPr>
                <w:color w:val="000000"/>
                <w:sz w:val="22"/>
                <w:szCs w:val="22"/>
              </w:rPr>
              <w:t>0</w:t>
            </w:r>
            <w:r>
              <w:rPr>
                <w:color w:val="000000"/>
                <w:sz w:val="22"/>
                <w:szCs w:val="22"/>
              </w:rPr>
              <w:t>.</w:t>
            </w:r>
            <w:r w:rsidR="00C4026E">
              <w:rPr>
                <w:color w:val="000000"/>
                <w:sz w:val="22"/>
                <w:szCs w:val="22"/>
              </w:rPr>
              <w:t>013</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tcPr>
          <w:p w:rsidR="00AC7887" w:rsidRPr="00171879" w:rsidRDefault="00AC7887">
            <w:pPr>
              <w:jc w:val="center"/>
              <w:rPr>
                <w:i/>
                <w:iCs/>
                <w:color w:val="000000"/>
                <w:sz w:val="22"/>
                <w:szCs w:val="22"/>
              </w:rPr>
            </w:pP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(0.028)</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hideMark/>
          </w:tcPr>
          <w:p w:rsidR="00AC7887" w:rsidRPr="00171879" w:rsidRDefault="00AC7887">
            <w:pPr>
              <w:jc w:val="center"/>
              <w:rPr>
                <w:i/>
                <w:iCs/>
                <w:color w:val="000000"/>
                <w:sz w:val="22"/>
                <w:szCs w:val="22"/>
              </w:rPr>
            </w:pPr>
            <w:r w:rsidRPr="00171879">
              <w:rPr>
                <w:i/>
                <w:iCs/>
                <w:color w:val="000000"/>
                <w:sz w:val="22"/>
                <w:szCs w:val="22"/>
              </w:rPr>
              <w:t>D</w:t>
            </w:r>
            <w:r>
              <w:rPr>
                <w:i/>
                <w:iCs/>
                <w:color w:val="000000"/>
                <w:sz w:val="22"/>
                <w:szCs w:val="22"/>
              </w:rPr>
              <w:t>em</w:t>
            </w: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-0.001</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(0.0005)</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hideMark/>
          </w:tcPr>
          <w:p w:rsidR="00AC7887" w:rsidRPr="00171879" w:rsidRDefault="00AC7887">
            <w:pPr>
              <w:jc w:val="center"/>
              <w:rPr>
                <w:i/>
                <w:iCs/>
                <w:color w:val="000000"/>
                <w:sz w:val="22"/>
                <w:szCs w:val="22"/>
              </w:rPr>
            </w:pPr>
            <w:r w:rsidRPr="00171879">
              <w:rPr>
                <w:i/>
                <w:iCs/>
                <w:color w:val="000000"/>
                <w:sz w:val="22"/>
                <w:szCs w:val="22"/>
              </w:rPr>
              <w:t>East</w:t>
            </w: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0.004</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hideMark/>
          </w:tcPr>
          <w:p w:rsidR="00AC7887" w:rsidRPr="00171879" w:rsidRDefault="00AC7887">
            <w:pPr>
              <w:rPr>
                <w:color w:val="000000"/>
                <w:sz w:val="22"/>
                <w:szCs w:val="22"/>
              </w:rPr>
            </w:pPr>
          </w:p>
        </w:tc>
        <w:tc>
          <w:tcPr>
            <w:tcW w:w="546" w:type="dxa"/>
            <w:shd w:val="clear" w:color="auto" w:fill="auto"/>
            <w:noWrap/>
            <w:vAlign w:val="bottom"/>
            <w:hideMark/>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(0.0005)</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tcPr>
          <w:p w:rsidR="00AC7887" w:rsidRPr="00171879" w:rsidRDefault="00AC7887" w:rsidP="00BE57AB">
            <w:pPr>
              <w:jc w:val="center"/>
              <w:rPr>
                <w:i/>
                <w:iCs/>
                <w:color w:val="000000"/>
                <w:sz w:val="22"/>
                <w:szCs w:val="22"/>
              </w:rPr>
            </w:pPr>
            <w:proofErr w:type="spellStart"/>
            <w:r w:rsidRPr="00171879">
              <w:rPr>
                <w:i/>
                <w:iCs/>
                <w:color w:val="000000"/>
                <w:sz w:val="22"/>
                <w:szCs w:val="22"/>
              </w:rPr>
              <w:t>PolIndex</w:t>
            </w:r>
            <w:proofErr w:type="spellEnd"/>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0.007</w:t>
            </w:r>
          </w:p>
        </w:tc>
        <w:tc>
          <w:tcPr>
            <w:tcW w:w="968" w:type="dxa"/>
            <w:shd w:val="clear" w:color="auto" w:fill="auto"/>
            <w:noWrap/>
            <w:vAlign w:val="bottom"/>
          </w:tcPr>
          <w:p w:rsidR="00AC7887" w:rsidRPr="00171879" w:rsidRDefault="00C4026E">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tcPr>
          <w:p w:rsidR="00AC7887" w:rsidRPr="00171879" w:rsidRDefault="00AC7887" w:rsidP="00BE57AB">
            <w:pPr>
              <w:jc w:val="center"/>
              <w:rPr>
                <w:i/>
                <w:iCs/>
                <w:color w:val="000000"/>
                <w:sz w:val="22"/>
                <w:szCs w:val="22"/>
              </w:rPr>
            </w:pP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Pr="00171879" w:rsidRDefault="00C4026E">
            <w:pPr>
              <w:jc w:val="right"/>
              <w:rPr>
                <w:color w:val="000000"/>
                <w:sz w:val="22"/>
                <w:szCs w:val="22"/>
              </w:rPr>
            </w:pPr>
            <w:r>
              <w:rPr>
                <w:color w:val="000000"/>
                <w:sz w:val="22"/>
                <w:szCs w:val="22"/>
              </w:rPr>
              <w:t>(0.0008)</w:t>
            </w:r>
          </w:p>
        </w:tc>
        <w:tc>
          <w:tcPr>
            <w:tcW w:w="968" w:type="dxa"/>
            <w:shd w:val="clear" w:color="auto" w:fill="auto"/>
            <w:noWrap/>
            <w:vAlign w:val="bottom"/>
          </w:tcPr>
          <w:p w:rsidR="00AC7887" w:rsidRPr="00171879" w:rsidRDefault="00AC7887">
            <w:pPr>
              <w:rPr>
                <w:color w:val="000000"/>
                <w:sz w:val="22"/>
                <w:szCs w:val="22"/>
              </w:rPr>
            </w:pP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shd w:val="clear" w:color="auto" w:fill="auto"/>
            <w:noWrap/>
            <w:vAlign w:val="bottom"/>
          </w:tcPr>
          <w:p w:rsidR="00AC7887" w:rsidRPr="00171879" w:rsidRDefault="00AC7887" w:rsidP="00BE57AB">
            <w:pPr>
              <w:jc w:val="center"/>
              <w:rPr>
                <w:i/>
                <w:iCs/>
                <w:color w:val="000000"/>
                <w:sz w:val="22"/>
                <w:szCs w:val="22"/>
              </w:rPr>
            </w:pPr>
            <w:r w:rsidRPr="00171879">
              <w:rPr>
                <w:i/>
                <w:iCs/>
                <w:color w:val="000000"/>
                <w:sz w:val="22"/>
                <w:szCs w:val="22"/>
              </w:rPr>
              <w:t>CIT</w:t>
            </w:r>
          </w:p>
        </w:tc>
        <w:tc>
          <w:tcPr>
            <w:tcW w:w="546" w:type="dxa"/>
            <w:shd w:val="clear" w:color="auto" w:fill="auto"/>
            <w:noWrap/>
            <w:vAlign w:val="bottom"/>
          </w:tcPr>
          <w:p w:rsidR="00AC7887" w:rsidRPr="00171879" w:rsidRDefault="00AC7887">
            <w:pPr>
              <w:rPr>
                <w:color w:val="000000"/>
                <w:sz w:val="22"/>
                <w:szCs w:val="22"/>
              </w:rPr>
            </w:pPr>
          </w:p>
        </w:tc>
        <w:tc>
          <w:tcPr>
            <w:tcW w:w="1417" w:type="dxa"/>
            <w:shd w:val="clear" w:color="auto" w:fill="auto"/>
            <w:noWrap/>
            <w:vAlign w:val="bottom"/>
          </w:tcPr>
          <w:p w:rsidR="00AC7887" w:rsidRDefault="00C4026E" w:rsidP="00DD3F81">
            <w:pPr>
              <w:jc w:val="right"/>
              <w:rPr>
                <w:color w:val="000000"/>
                <w:sz w:val="22"/>
                <w:szCs w:val="22"/>
              </w:rPr>
            </w:pPr>
            <w:r>
              <w:rPr>
                <w:color w:val="000000"/>
                <w:sz w:val="22"/>
                <w:szCs w:val="22"/>
              </w:rPr>
              <w:t>-0.</w:t>
            </w:r>
            <w:r w:rsidR="00DD3F81">
              <w:rPr>
                <w:color w:val="000000"/>
                <w:sz w:val="22"/>
                <w:szCs w:val="22"/>
              </w:rPr>
              <w:t>116</w:t>
            </w:r>
          </w:p>
        </w:tc>
        <w:tc>
          <w:tcPr>
            <w:tcW w:w="968" w:type="dxa"/>
            <w:shd w:val="clear" w:color="auto" w:fill="auto"/>
            <w:noWrap/>
            <w:vAlign w:val="bottom"/>
          </w:tcPr>
          <w:p w:rsidR="00AC7887" w:rsidRPr="00171879" w:rsidRDefault="00C4026E" w:rsidP="00DD3F81">
            <w:pPr>
              <w:rPr>
                <w:color w:val="000000"/>
                <w:sz w:val="22"/>
                <w:szCs w:val="22"/>
              </w:rPr>
            </w:pPr>
            <w:r>
              <w:rPr>
                <w:color w:val="000000"/>
                <w:sz w:val="22"/>
                <w:szCs w:val="22"/>
              </w:rPr>
              <w:t>**</w:t>
            </w:r>
          </w:p>
        </w:tc>
        <w:tc>
          <w:tcPr>
            <w:tcW w:w="768" w:type="dxa"/>
            <w:shd w:val="clear" w:color="auto" w:fill="auto"/>
            <w:noWrap/>
            <w:vAlign w:val="bottom"/>
          </w:tcPr>
          <w:p w:rsidR="00AC7887" w:rsidRPr="00171879" w:rsidRDefault="00AC7887">
            <w:pPr>
              <w:rPr>
                <w:color w:val="000000"/>
                <w:sz w:val="22"/>
                <w:szCs w:val="22"/>
              </w:rPr>
            </w:pPr>
          </w:p>
        </w:tc>
      </w:tr>
      <w:tr w:rsidR="00AC7887" w:rsidTr="00EF6EF3">
        <w:trPr>
          <w:trHeight w:val="288"/>
        </w:trPr>
        <w:tc>
          <w:tcPr>
            <w:tcW w:w="3771" w:type="dxa"/>
            <w:tcBorders>
              <w:bottom w:val="single" w:sz="4" w:space="0" w:color="auto"/>
            </w:tcBorders>
            <w:shd w:val="clear" w:color="auto" w:fill="auto"/>
            <w:noWrap/>
            <w:vAlign w:val="bottom"/>
          </w:tcPr>
          <w:p w:rsidR="00AC7887" w:rsidRPr="00171879" w:rsidRDefault="00AC7887" w:rsidP="00BE57AB">
            <w:pPr>
              <w:jc w:val="center"/>
              <w:rPr>
                <w:i/>
                <w:iCs/>
                <w:color w:val="000000"/>
                <w:sz w:val="22"/>
                <w:szCs w:val="22"/>
              </w:rPr>
            </w:pPr>
          </w:p>
        </w:tc>
        <w:tc>
          <w:tcPr>
            <w:tcW w:w="546" w:type="dxa"/>
            <w:tcBorders>
              <w:bottom w:val="single" w:sz="4" w:space="0" w:color="auto"/>
            </w:tcBorders>
            <w:shd w:val="clear" w:color="auto" w:fill="auto"/>
            <w:noWrap/>
            <w:vAlign w:val="bottom"/>
          </w:tcPr>
          <w:p w:rsidR="00AC7887" w:rsidRPr="00171879" w:rsidRDefault="00AC7887">
            <w:pPr>
              <w:rPr>
                <w:color w:val="000000"/>
                <w:sz w:val="22"/>
                <w:szCs w:val="22"/>
              </w:rPr>
            </w:pPr>
          </w:p>
        </w:tc>
        <w:tc>
          <w:tcPr>
            <w:tcW w:w="1417" w:type="dxa"/>
            <w:tcBorders>
              <w:bottom w:val="single" w:sz="4" w:space="0" w:color="auto"/>
            </w:tcBorders>
            <w:shd w:val="clear" w:color="auto" w:fill="auto"/>
            <w:noWrap/>
            <w:vAlign w:val="bottom"/>
          </w:tcPr>
          <w:p w:rsidR="00AC7887" w:rsidRDefault="00C4026E" w:rsidP="00DD3F81">
            <w:pPr>
              <w:jc w:val="right"/>
              <w:rPr>
                <w:color w:val="000000"/>
                <w:sz w:val="22"/>
                <w:szCs w:val="22"/>
              </w:rPr>
            </w:pPr>
            <w:r>
              <w:rPr>
                <w:color w:val="000000"/>
                <w:sz w:val="22"/>
                <w:szCs w:val="22"/>
              </w:rPr>
              <w:t>(0.0</w:t>
            </w:r>
            <w:r w:rsidR="00DD3F81">
              <w:rPr>
                <w:color w:val="000000"/>
                <w:sz w:val="22"/>
                <w:szCs w:val="22"/>
              </w:rPr>
              <w:t>61</w:t>
            </w:r>
            <w:r>
              <w:rPr>
                <w:color w:val="000000"/>
                <w:sz w:val="22"/>
                <w:szCs w:val="22"/>
              </w:rPr>
              <w:t>)</w:t>
            </w:r>
          </w:p>
        </w:tc>
        <w:tc>
          <w:tcPr>
            <w:tcW w:w="968" w:type="dxa"/>
            <w:tcBorders>
              <w:bottom w:val="single" w:sz="4" w:space="0" w:color="auto"/>
            </w:tcBorders>
            <w:shd w:val="clear" w:color="auto" w:fill="auto"/>
            <w:noWrap/>
            <w:vAlign w:val="bottom"/>
          </w:tcPr>
          <w:p w:rsidR="00AC7887" w:rsidRPr="00171879" w:rsidRDefault="00AC7887">
            <w:pPr>
              <w:rPr>
                <w:color w:val="000000"/>
                <w:sz w:val="22"/>
                <w:szCs w:val="22"/>
              </w:rPr>
            </w:pPr>
          </w:p>
        </w:tc>
        <w:tc>
          <w:tcPr>
            <w:tcW w:w="768" w:type="dxa"/>
            <w:tcBorders>
              <w:bottom w:val="single" w:sz="4" w:space="0" w:color="auto"/>
            </w:tcBorders>
            <w:shd w:val="clear" w:color="auto" w:fill="auto"/>
            <w:noWrap/>
            <w:vAlign w:val="bottom"/>
          </w:tcPr>
          <w:p w:rsidR="00AC7887" w:rsidRPr="00171879" w:rsidRDefault="00AC7887">
            <w:pPr>
              <w:rPr>
                <w:color w:val="000000"/>
                <w:sz w:val="22"/>
                <w:szCs w:val="22"/>
              </w:rPr>
            </w:pPr>
          </w:p>
        </w:tc>
      </w:tr>
      <w:tr w:rsidR="00C4026E" w:rsidTr="0073177D">
        <w:trPr>
          <w:trHeight w:val="350"/>
        </w:trPr>
        <w:tc>
          <w:tcPr>
            <w:tcW w:w="3771" w:type="dxa"/>
            <w:tcBorders>
              <w:top w:val="single" w:sz="4" w:space="0" w:color="auto"/>
            </w:tcBorders>
            <w:shd w:val="clear" w:color="auto" w:fill="auto"/>
            <w:noWrap/>
            <w:vAlign w:val="bottom"/>
            <w:hideMark/>
          </w:tcPr>
          <w:p w:rsidR="00C4026E" w:rsidRPr="00171879" w:rsidRDefault="00C4026E">
            <w:pPr>
              <w:rPr>
                <w:color w:val="000000"/>
                <w:sz w:val="22"/>
                <w:szCs w:val="22"/>
              </w:rPr>
            </w:pPr>
            <w:r w:rsidRPr="00171879">
              <w:rPr>
                <w:color w:val="000000"/>
                <w:sz w:val="22"/>
                <w:szCs w:val="22"/>
              </w:rPr>
              <w:t>Number of Observations</w:t>
            </w:r>
          </w:p>
        </w:tc>
        <w:tc>
          <w:tcPr>
            <w:tcW w:w="546" w:type="dxa"/>
            <w:tcBorders>
              <w:top w:val="single" w:sz="4" w:space="0" w:color="auto"/>
            </w:tcBorders>
            <w:shd w:val="clear" w:color="auto" w:fill="auto"/>
            <w:noWrap/>
            <w:vAlign w:val="bottom"/>
            <w:hideMark/>
          </w:tcPr>
          <w:p w:rsidR="00C4026E" w:rsidRPr="00171879" w:rsidRDefault="00C4026E" w:rsidP="00EF6EF3">
            <w:pPr>
              <w:jc w:val="right"/>
              <w:rPr>
                <w:color w:val="000000"/>
                <w:sz w:val="22"/>
                <w:szCs w:val="22"/>
              </w:rPr>
            </w:pPr>
          </w:p>
        </w:tc>
        <w:tc>
          <w:tcPr>
            <w:tcW w:w="1417" w:type="dxa"/>
            <w:tcBorders>
              <w:top w:val="single" w:sz="4" w:space="0" w:color="auto"/>
            </w:tcBorders>
            <w:shd w:val="clear" w:color="auto" w:fill="auto"/>
            <w:noWrap/>
            <w:vAlign w:val="bottom"/>
            <w:hideMark/>
          </w:tcPr>
          <w:p w:rsidR="00C4026E" w:rsidRPr="00171879" w:rsidRDefault="00EF6EF3" w:rsidP="00EF6EF3">
            <w:pPr>
              <w:jc w:val="right"/>
              <w:rPr>
                <w:color w:val="000000"/>
                <w:sz w:val="22"/>
                <w:szCs w:val="22"/>
              </w:rPr>
            </w:pPr>
            <w:r w:rsidRPr="00171879">
              <w:rPr>
                <w:color w:val="000000"/>
                <w:sz w:val="22"/>
                <w:szCs w:val="22"/>
              </w:rPr>
              <w:t>755</w:t>
            </w:r>
          </w:p>
        </w:tc>
        <w:tc>
          <w:tcPr>
            <w:tcW w:w="968" w:type="dxa"/>
            <w:tcBorders>
              <w:top w:val="single" w:sz="4" w:space="0" w:color="auto"/>
            </w:tcBorders>
            <w:shd w:val="clear" w:color="auto" w:fill="auto"/>
            <w:noWrap/>
            <w:vAlign w:val="bottom"/>
            <w:hideMark/>
          </w:tcPr>
          <w:p w:rsidR="00C4026E" w:rsidRPr="00171879" w:rsidRDefault="00C4026E">
            <w:pPr>
              <w:rPr>
                <w:color w:val="000000"/>
                <w:sz w:val="22"/>
                <w:szCs w:val="22"/>
              </w:rPr>
            </w:pPr>
          </w:p>
        </w:tc>
        <w:tc>
          <w:tcPr>
            <w:tcW w:w="768" w:type="dxa"/>
            <w:tcBorders>
              <w:top w:val="single" w:sz="4" w:space="0" w:color="auto"/>
              <w:left w:val="nil"/>
            </w:tcBorders>
            <w:noWrap/>
            <w:hideMark/>
          </w:tcPr>
          <w:p w:rsidR="00C4026E" w:rsidRPr="00171879" w:rsidRDefault="00C4026E">
            <w:pPr>
              <w:rPr>
                <w:color w:val="000000"/>
                <w:sz w:val="22"/>
                <w:szCs w:val="22"/>
              </w:rPr>
            </w:pPr>
          </w:p>
        </w:tc>
      </w:tr>
      <w:tr w:rsidR="0073177D" w:rsidTr="0073177D">
        <w:trPr>
          <w:trHeight w:val="360"/>
        </w:trPr>
        <w:tc>
          <w:tcPr>
            <w:tcW w:w="3771" w:type="dxa"/>
            <w:shd w:val="clear" w:color="auto" w:fill="auto"/>
            <w:noWrap/>
            <w:vAlign w:val="bottom"/>
          </w:tcPr>
          <w:p w:rsidR="0073177D" w:rsidRDefault="0073177D" w:rsidP="0073177D">
            <w:pPr>
              <w:ind w:left="-18"/>
              <w:rPr>
                <w:color w:val="000000"/>
                <w:sz w:val="22"/>
                <w:szCs w:val="22"/>
              </w:rPr>
            </w:pPr>
            <w:proofErr w:type="spellStart"/>
            <w:r>
              <w:rPr>
                <w:color w:val="000000"/>
                <w:sz w:val="22"/>
                <w:szCs w:val="22"/>
              </w:rPr>
              <w:t>Kleibergen-Paap</w:t>
            </w:r>
            <w:proofErr w:type="spellEnd"/>
            <w:r>
              <w:rPr>
                <w:color w:val="000000"/>
                <w:sz w:val="22"/>
                <w:szCs w:val="22"/>
              </w:rPr>
              <w:t xml:space="preserve"> </w:t>
            </w:r>
            <w:proofErr w:type="spellStart"/>
            <w:r>
              <w:rPr>
                <w:color w:val="000000"/>
                <w:sz w:val="22"/>
                <w:szCs w:val="22"/>
              </w:rPr>
              <w:t>rk</w:t>
            </w:r>
            <w:proofErr w:type="spellEnd"/>
            <w:r>
              <w:rPr>
                <w:color w:val="000000"/>
                <w:sz w:val="22"/>
                <w:szCs w:val="22"/>
              </w:rPr>
              <w:t xml:space="preserve"> LM statistic (</w:t>
            </w:r>
            <w:proofErr w:type="spellStart"/>
            <w:r>
              <w:rPr>
                <w:color w:val="000000"/>
                <w:sz w:val="22"/>
                <w:szCs w:val="22"/>
              </w:rPr>
              <w:t>underidentification</w:t>
            </w:r>
            <w:proofErr w:type="spellEnd"/>
            <w:r>
              <w:rPr>
                <w:color w:val="000000"/>
                <w:sz w:val="22"/>
                <w:szCs w:val="22"/>
              </w:rPr>
              <w:t xml:space="preserve"> test)</w:t>
            </w:r>
          </w:p>
        </w:tc>
        <w:tc>
          <w:tcPr>
            <w:tcW w:w="546" w:type="dxa"/>
            <w:shd w:val="clear" w:color="auto" w:fill="auto"/>
            <w:noWrap/>
            <w:vAlign w:val="bottom"/>
          </w:tcPr>
          <w:p w:rsidR="0073177D" w:rsidRPr="00EE1993" w:rsidRDefault="0073177D" w:rsidP="0073177D">
            <w:pPr>
              <w:jc w:val="right"/>
              <w:rPr>
                <w:color w:val="000000"/>
                <w:sz w:val="22"/>
                <w:szCs w:val="22"/>
              </w:rPr>
            </w:pPr>
          </w:p>
        </w:tc>
        <w:tc>
          <w:tcPr>
            <w:tcW w:w="1417" w:type="dxa"/>
            <w:shd w:val="clear" w:color="auto" w:fill="auto"/>
            <w:noWrap/>
            <w:vAlign w:val="bottom"/>
          </w:tcPr>
          <w:p w:rsidR="0073177D" w:rsidRPr="00EE1993" w:rsidRDefault="0073177D" w:rsidP="0073177D">
            <w:pPr>
              <w:jc w:val="right"/>
              <w:rPr>
                <w:color w:val="000000"/>
                <w:sz w:val="22"/>
                <w:szCs w:val="22"/>
              </w:rPr>
            </w:pPr>
            <w:r>
              <w:rPr>
                <w:color w:val="000000"/>
                <w:sz w:val="22"/>
                <w:szCs w:val="22"/>
              </w:rPr>
              <w:t>131.57</w:t>
            </w:r>
          </w:p>
        </w:tc>
        <w:tc>
          <w:tcPr>
            <w:tcW w:w="968" w:type="dxa"/>
            <w:shd w:val="clear" w:color="auto" w:fill="auto"/>
            <w:noWrap/>
            <w:vAlign w:val="bottom"/>
          </w:tcPr>
          <w:p w:rsidR="0073177D" w:rsidRPr="00EE1993" w:rsidRDefault="0073177D" w:rsidP="0073177D">
            <w:pPr>
              <w:rPr>
                <w:color w:val="000000"/>
                <w:sz w:val="22"/>
                <w:szCs w:val="22"/>
              </w:rPr>
            </w:pPr>
            <w:r>
              <w:rPr>
                <w:color w:val="000000"/>
                <w:sz w:val="22"/>
                <w:szCs w:val="22"/>
              </w:rPr>
              <w:t>***</w:t>
            </w:r>
          </w:p>
        </w:tc>
        <w:tc>
          <w:tcPr>
            <w:tcW w:w="768" w:type="dxa"/>
            <w:tcBorders>
              <w:left w:val="nil"/>
            </w:tcBorders>
            <w:shd w:val="clear" w:color="auto" w:fill="auto"/>
            <w:noWrap/>
            <w:vAlign w:val="bottom"/>
          </w:tcPr>
          <w:p w:rsidR="0073177D" w:rsidRPr="00EE1993" w:rsidRDefault="0073177D" w:rsidP="0073177D">
            <w:pPr>
              <w:rPr>
                <w:color w:val="000000"/>
                <w:sz w:val="22"/>
                <w:szCs w:val="22"/>
              </w:rPr>
            </w:pPr>
          </w:p>
        </w:tc>
      </w:tr>
      <w:tr w:rsidR="0073177D" w:rsidTr="0073177D">
        <w:trPr>
          <w:trHeight w:val="360"/>
        </w:trPr>
        <w:tc>
          <w:tcPr>
            <w:tcW w:w="3771" w:type="dxa"/>
            <w:tcBorders>
              <w:bottom w:val="single" w:sz="4" w:space="0" w:color="auto"/>
            </w:tcBorders>
            <w:shd w:val="clear" w:color="auto" w:fill="auto"/>
            <w:noWrap/>
            <w:vAlign w:val="bottom"/>
            <w:hideMark/>
          </w:tcPr>
          <w:p w:rsidR="0073177D" w:rsidRPr="00171879" w:rsidRDefault="0073177D">
            <w:pPr>
              <w:rPr>
                <w:color w:val="000000"/>
                <w:sz w:val="22"/>
                <w:szCs w:val="22"/>
              </w:rPr>
            </w:pPr>
            <w:r w:rsidRPr="00171879">
              <w:rPr>
                <w:color w:val="000000"/>
                <w:sz w:val="22"/>
                <w:szCs w:val="22"/>
              </w:rPr>
              <w:t>R</w:t>
            </w:r>
            <w:r w:rsidRPr="00171879">
              <w:rPr>
                <w:color w:val="000000"/>
                <w:sz w:val="22"/>
                <w:szCs w:val="22"/>
                <w:vertAlign w:val="superscript"/>
              </w:rPr>
              <w:t>2</w:t>
            </w:r>
          </w:p>
        </w:tc>
        <w:tc>
          <w:tcPr>
            <w:tcW w:w="546" w:type="dxa"/>
            <w:tcBorders>
              <w:bottom w:val="single" w:sz="4" w:space="0" w:color="auto"/>
            </w:tcBorders>
            <w:shd w:val="clear" w:color="auto" w:fill="auto"/>
            <w:noWrap/>
            <w:vAlign w:val="bottom"/>
            <w:hideMark/>
          </w:tcPr>
          <w:p w:rsidR="0073177D" w:rsidRPr="00171879" w:rsidRDefault="0073177D">
            <w:pPr>
              <w:rPr>
                <w:color w:val="000000"/>
                <w:sz w:val="22"/>
                <w:szCs w:val="22"/>
              </w:rPr>
            </w:pPr>
            <w:r w:rsidRPr="00171879">
              <w:rPr>
                <w:color w:val="000000"/>
                <w:sz w:val="22"/>
                <w:szCs w:val="22"/>
              </w:rPr>
              <w:t> </w:t>
            </w:r>
          </w:p>
        </w:tc>
        <w:tc>
          <w:tcPr>
            <w:tcW w:w="1417" w:type="dxa"/>
            <w:tcBorders>
              <w:bottom w:val="single" w:sz="4" w:space="0" w:color="auto"/>
            </w:tcBorders>
            <w:shd w:val="clear" w:color="auto" w:fill="auto"/>
            <w:noWrap/>
            <w:vAlign w:val="bottom"/>
            <w:hideMark/>
          </w:tcPr>
          <w:p w:rsidR="0073177D" w:rsidRPr="00171879" w:rsidRDefault="0073177D" w:rsidP="00EF6EF3">
            <w:pPr>
              <w:jc w:val="right"/>
              <w:rPr>
                <w:color w:val="000000"/>
                <w:sz w:val="22"/>
                <w:szCs w:val="22"/>
              </w:rPr>
            </w:pPr>
            <w:r w:rsidRPr="00171879">
              <w:rPr>
                <w:color w:val="000000"/>
                <w:sz w:val="22"/>
                <w:szCs w:val="22"/>
              </w:rPr>
              <w:t>0.59</w:t>
            </w:r>
          </w:p>
        </w:tc>
        <w:tc>
          <w:tcPr>
            <w:tcW w:w="968" w:type="dxa"/>
            <w:tcBorders>
              <w:bottom w:val="single" w:sz="4" w:space="0" w:color="auto"/>
            </w:tcBorders>
            <w:shd w:val="clear" w:color="auto" w:fill="auto"/>
            <w:noWrap/>
            <w:vAlign w:val="bottom"/>
            <w:hideMark/>
          </w:tcPr>
          <w:p w:rsidR="0073177D" w:rsidRPr="00171879" w:rsidRDefault="0073177D">
            <w:pPr>
              <w:rPr>
                <w:color w:val="000000"/>
                <w:sz w:val="22"/>
                <w:szCs w:val="22"/>
              </w:rPr>
            </w:pPr>
          </w:p>
        </w:tc>
        <w:tc>
          <w:tcPr>
            <w:tcW w:w="768" w:type="dxa"/>
            <w:tcBorders>
              <w:left w:val="nil"/>
              <w:bottom w:val="single" w:sz="4" w:space="0" w:color="auto"/>
            </w:tcBorders>
            <w:shd w:val="clear" w:color="auto" w:fill="auto"/>
            <w:noWrap/>
            <w:vAlign w:val="bottom"/>
            <w:hideMark/>
          </w:tcPr>
          <w:p w:rsidR="0073177D" w:rsidRDefault="0073177D" w:rsidP="003D2F0F">
            <w:r w:rsidRPr="00171879">
              <w:rPr>
                <w:color w:val="000000"/>
                <w:sz w:val="22"/>
                <w:szCs w:val="22"/>
              </w:rPr>
              <w:t>  </w:t>
            </w:r>
          </w:p>
        </w:tc>
      </w:tr>
      <w:tr w:rsidR="0073177D" w:rsidTr="00EF6EF3">
        <w:trPr>
          <w:trHeight w:val="288"/>
        </w:trPr>
        <w:tc>
          <w:tcPr>
            <w:tcW w:w="7470" w:type="dxa"/>
            <w:gridSpan w:val="5"/>
            <w:tcBorders>
              <w:top w:val="single" w:sz="4" w:space="0" w:color="auto"/>
            </w:tcBorders>
            <w:shd w:val="clear" w:color="auto" w:fill="auto"/>
            <w:noWrap/>
            <w:vAlign w:val="bottom"/>
            <w:hideMark/>
          </w:tcPr>
          <w:p w:rsidR="0073177D" w:rsidRDefault="0073177D" w:rsidP="00C746ED">
            <w:r w:rsidRPr="00171879">
              <w:rPr>
                <w:color w:val="000000"/>
                <w:sz w:val="22"/>
                <w:szCs w:val="22"/>
              </w:rPr>
              <w:t xml:space="preserve">Note:  </w:t>
            </w:r>
            <w:r w:rsidR="00C746ED">
              <w:rPr>
                <w:color w:val="000000"/>
                <w:sz w:val="22"/>
                <w:szCs w:val="22"/>
              </w:rPr>
              <w:t>R</w:t>
            </w:r>
            <w:r w:rsidR="00C746ED" w:rsidRPr="00171879">
              <w:rPr>
                <w:color w:val="000000"/>
                <w:sz w:val="22"/>
                <w:szCs w:val="22"/>
              </w:rPr>
              <w:t xml:space="preserve">obust </w:t>
            </w:r>
            <w:r w:rsidR="00C746ED">
              <w:rPr>
                <w:color w:val="000000"/>
                <w:sz w:val="22"/>
                <w:szCs w:val="22"/>
              </w:rPr>
              <w:t>s</w:t>
            </w:r>
            <w:r w:rsidRPr="00171879">
              <w:rPr>
                <w:color w:val="000000"/>
                <w:sz w:val="22"/>
                <w:szCs w:val="22"/>
              </w:rPr>
              <w:t>tandard errors in parenthes</w:t>
            </w:r>
            <w:r>
              <w:rPr>
                <w:color w:val="000000"/>
                <w:sz w:val="22"/>
                <w:szCs w:val="22"/>
              </w:rPr>
              <w:t>e</w:t>
            </w:r>
            <w:r w:rsidRPr="00171879">
              <w:rPr>
                <w:color w:val="000000"/>
                <w:sz w:val="22"/>
                <w:szCs w:val="22"/>
              </w:rPr>
              <w:t>s</w:t>
            </w:r>
            <w:r>
              <w:rPr>
                <w:color w:val="000000"/>
                <w:sz w:val="22"/>
                <w:szCs w:val="22"/>
              </w:rPr>
              <w:t>.</w:t>
            </w:r>
          </w:p>
        </w:tc>
      </w:tr>
      <w:tr w:rsidR="0073177D" w:rsidTr="00EF6EF3">
        <w:trPr>
          <w:trHeight w:val="288"/>
        </w:trPr>
        <w:tc>
          <w:tcPr>
            <w:tcW w:w="7470" w:type="dxa"/>
            <w:gridSpan w:val="5"/>
            <w:shd w:val="clear" w:color="auto" w:fill="auto"/>
            <w:noWrap/>
            <w:vAlign w:val="bottom"/>
            <w:hideMark/>
          </w:tcPr>
          <w:p w:rsidR="0073177D" w:rsidRPr="0073177D" w:rsidRDefault="0073177D" w:rsidP="003D2F0F">
            <w:pPr>
              <w:rPr>
                <w:color w:val="000000"/>
                <w:sz w:val="22"/>
                <w:szCs w:val="22"/>
              </w:rPr>
            </w:pPr>
            <w:r w:rsidRPr="00171879">
              <w:rPr>
                <w:color w:val="000000"/>
                <w:sz w:val="22"/>
                <w:szCs w:val="22"/>
              </w:rPr>
              <w:t>* significance at the .10 level</w:t>
            </w:r>
            <w:r>
              <w:rPr>
                <w:color w:val="000000"/>
                <w:sz w:val="22"/>
                <w:szCs w:val="22"/>
              </w:rPr>
              <w:t>; **</w:t>
            </w:r>
            <w:r w:rsidRPr="00171879">
              <w:rPr>
                <w:color w:val="000000"/>
                <w:sz w:val="22"/>
                <w:szCs w:val="22"/>
              </w:rPr>
              <w:t xml:space="preserve"> significance at the .05 level</w:t>
            </w:r>
            <w:r>
              <w:rPr>
                <w:color w:val="000000"/>
                <w:sz w:val="22"/>
                <w:szCs w:val="22"/>
              </w:rPr>
              <w:t>;</w:t>
            </w:r>
            <w:r w:rsidRPr="00171879">
              <w:rPr>
                <w:color w:val="000000"/>
                <w:sz w:val="22"/>
                <w:szCs w:val="22"/>
              </w:rPr>
              <w:t xml:space="preserve"> ***</w:t>
            </w:r>
            <w:r>
              <w:rPr>
                <w:color w:val="000000"/>
                <w:sz w:val="22"/>
                <w:szCs w:val="22"/>
              </w:rPr>
              <w:t xml:space="preserve"> </w:t>
            </w:r>
            <w:r w:rsidRPr="00171879">
              <w:rPr>
                <w:color w:val="000000"/>
                <w:sz w:val="22"/>
                <w:szCs w:val="22"/>
              </w:rPr>
              <w:t>significance at the .01 level</w:t>
            </w:r>
          </w:p>
        </w:tc>
      </w:tr>
    </w:tbl>
    <w:p w:rsidR="0073177D" w:rsidRDefault="0073177D" w:rsidP="00BE57AB">
      <w:pPr>
        <w:tabs>
          <w:tab w:val="left" w:pos="-540"/>
        </w:tabs>
      </w:pPr>
    </w:p>
    <w:p w:rsidR="0073177D" w:rsidRDefault="0073177D">
      <w:r>
        <w:br w:type="page"/>
      </w:r>
    </w:p>
    <w:p w:rsidR="00BE57AB" w:rsidRDefault="00BE57AB" w:rsidP="00BE57AB">
      <w:pPr>
        <w:tabs>
          <w:tab w:val="left" w:pos="-540"/>
        </w:tabs>
      </w:pPr>
    </w:p>
    <w:p w:rsidR="00BE57AB" w:rsidRDefault="00BE57AB" w:rsidP="0073177D"/>
    <w:tbl>
      <w:tblPr>
        <w:tblW w:w="9731" w:type="dxa"/>
        <w:tblInd w:w="93" w:type="dxa"/>
        <w:tblCellMar>
          <w:left w:w="14" w:type="dxa"/>
          <w:right w:w="14" w:type="dxa"/>
        </w:tblCellMar>
        <w:tblLook w:val="04A0" w:firstRow="1" w:lastRow="0" w:firstColumn="1" w:lastColumn="0" w:noHBand="0" w:noVBand="1"/>
      </w:tblPr>
      <w:tblGrid>
        <w:gridCol w:w="2621"/>
        <w:gridCol w:w="1530"/>
        <w:gridCol w:w="1350"/>
        <w:gridCol w:w="1110"/>
        <w:gridCol w:w="780"/>
        <w:gridCol w:w="1710"/>
        <w:gridCol w:w="630"/>
      </w:tblGrid>
      <w:tr w:rsidR="0073177D" w:rsidTr="00C746ED">
        <w:trPr>
          <w:trHeight w:val="288"/>
        </w:trPr>
        <w:tc>
          <w:tcPr>
            <w:tcW w:w="9731" w:type="dxa"/>
            <w:gridSpan w:val="7"/>
            <w:tcBorders>
              <w:top w:val="single" w:sz="4" w:space="0" w:color="auto"/>
            </w:tcBorders>
            <w:shd w:val="clear" w:color="auto" w:fill="auto"/>
            <w:noWrap/>
            <w:vAlign w:val="center"/>
          </w:tcPr>
          <w:p w:rsidR="0073177D" w:rsidRDefault="0073177D" w:rsidP="00224BB9">
            <w:pPr>
              <w:ind w:left="-18"/>
              <w:rPr>
                <w:b/>
                <w:bCs/>
                <w:color w:val="000000"/>
                <w:sz w:val="22"/>
                <w:szCs w:val="22"/>
              </w:rPr>
            </w:pPr>
            <w:r>
              <w:rPr>
                <w:b/>
                <w:bCs/>
                <w:color w:val="000000"/>
                <w:sz w:val="22"/>
                <w:szCs w:val="22"/>
              </w:rPr>
              <w:t xml:space="preserve">Table 4. 2SLS Second Stage </w:t>
            </w:r>
            <w:r w:rsidR="00D567E8">
              <w:rPr>
                <w:b/>
                <w:bCs/>
                <w:color w:val="000000"/>
                <w:sz w:val="22"/>
                <w:szCs w:val="22"/>
              </w:rPr>
              <w:t xml:space="preserve">Panel Instrumental Variables </w:t>
            </w:r>
            <w:r>
              <w:rPr>
                <w:b/>
                <w:bCs/>
                <w:color w:val="000000"/>
                <w:sz w:val="22"/>
                <w:szCs w:val="22"/>
              </w:rPr>
              <w:t xml:space="preserve">Estimates </w:t>
            </w:r>
            <w:r w:rsidR="00D567E8">
              <w:rPr>
                <w:b/>
                <w:bCs/>
                <w:color w:val="000000"/>
                <w:sz w:val="22"/>
                <w:szCs w:val="22"/>
              </w:rPr>
              <w:t>with Year Fixed Effects</w:t>
            </w:r>
          </w:p>
          <w:p w:rsidR="0073177D" w:rsidRDefault="0073177D" w:rsidP="00224BB9">
            <w:pPr>
              <w:rPr>
                <w:b/>
                <w:bCs/>
                <w:color w:val="000000"/>
                <w:sz w:val="22"/>
                <w:szCs w:val="22"/>
              </w:rPr>
            </w:pPr>
            <w:r>
              <w:rPr>
                <w:b/>
                <w:bCs/>
                <w:color w:val="000000"/>
                <w:sz w:val="22"/>
                <w:szCs w:val="22"/>
              </w:rPr>
              <w:t xml:space="preserve">Dependent Variable: </w:t>
            </w:r>
            <w:r>
              <w:rPr>
                <w:b/>
                <w:bCs/>
                <w:i/>
                <w:iCs/>
                <w:color w:val="000000"/>
                <w:sz w:val="22"/>
                <w:szCs w:val="22"/>
              </w:rPr>
              <w:t>Emp</w:t>
            </w:r>
            <w:r>
              <w:rPr>
                <w:b/>
                <w:bCs/>
                <w:color w:val="000000"/>
                <w:sz w:val="22"/>
                <w:szCs w:val="22"/>
              </w:rPr>
              <w:t xml:space="preserve">.  </w:t>
            </w:r>
            <w:proofErr w:type="spellStart"/>
            <w:r>
              <w:rPr>
                <w:b/>
                <w:bCs/>
                <w:color w:val="000000"/>
                <w:sz w:val="22"/>
                <w:szCs w:val="22"/>
              </w:rPr>
              <w:t>FRate</w:t>
            </w:r>
            <w:proofErr w:type="spellEnd"/>
            <w:r>
              <w:rPr>
                <w:b/>
                <w:bCs/>
                <w:color w:val="000000"/>
                <w:sz w:val="22"/>
                <w:szCs w:val="22"/>
              </w:rPr>
              <w:t xml:space="preserve"> is Endogenous</w:t>
            </w:r>
          </w:p>
        </w:tc>
      </w:tr>
      <w:tr w:rsidR="0073177D" w:rsidTr="00C746ED">
        <w:trPr>
          <w:trHeight w:val="288"/>
        </w:trPr>
        <w:tc>
          <w:tcPr>
            <w:tcW w:w="2621" w:type="dxa"/>
            <w:shd w:val="clear" w:color="auto" w:fill="auto"/>
            <w:noWrap/>
            <w:vAlign w:val="center"/>
          </w:tcPr>
          <w:p w:rsidR="0073177D" w:rsidRDefault="0073177D">
            <w:pPr>
              <w:jc w:val="right"/>
              <w:rPr>
                <w:i/>
                <w:iCs/>
                <w:color w:val="000000"/>
                <w:sz w:val="22"/>
                <w:szCs w:val="22"/>
              </w:rPr>
            </w:pPr>
          </w:p>
        </w:tc>
        <w:tc>
          <w:tcPr>
            <w:tcW w:w="1530" w:type="dxa"/>
            <w:shd w:val="clear" w:color="auto" w:fill="auto"/>
            <w:noWrap/>
            <w:vAlign w:val="bottom"/>
          </w:tcPr>
          <w:p w:rsidR="0073177D" w:rsidRDefault="0073177D">
            <w:pPr>
              <w:jc w:val="right"/>
              <w:rPr>
                <w:rFonts w:ascii="Calibri" w:hAnsi="Calibri"/>
                <w:color w:val="000000"/>
                <w:sz w:val="22"/>
                <w:szCs w:val="22"/>
              </w:rPr>
            </w:pPr>
          </w:p>
        </w:tc>
        <w:tc>
          <w:tcPr>
            <w:tcW w:w="1350" w:type="dxa"/>
            <w:shd w:val="clear" w:color="auto" w:fill="auto"/>
            <w:noWrap/>
            <w:vAlign w:val="bottom"/>
          </w:tcPr>
          <w:p w:rsidR="0073177D" w:rsidRDefault="0073177D">
            <w:pPr>
              <w:jc w:val="right"/>
              <w:rPr>
                <w:rFonts w:ascii="Calibri" w:hAnsi="Calibri"/>
                <w:color w:val="000000"/>
                <w:sz w:val="22"/>
                <w:szCs w:val="22"/>
              </w:rPr>
            </w:pPr>
          </w:p>
        </w:tc>
        <w:tc>
          <w:tcPr>
            <w:tcW w:w="1110" w:type="dxa"/>
            <w:shd w:val="clear" w:color="auto" w:fill="auto"/>
            <w:noWrap/>
            <w:vAlign w:val="bottom"/>
          </w:tcPr>
          <w:p w:rsidR="0073177D" w:rsidRDefault="0073177D">
            <w:pPr>
              <w:jc w:val="right"/>
              <w:rPr>
                <w:rFonts w:ascii="Calibri" w:hAnsi="Calibri"/>
                <w:color w:val="000000"/>
                <w:sz w:val="22"/>
                <w:szCs w:val="22"/>
              </w:rPr>
            </w:pPr>
          </w:p>
        </w:tc>
        <w:tc>
          <w:tcPr>
            <w:tcW w:w="780" w:type="dxa"/>
            <w:shd w:val="clear" w:color="auto" w:fill="auto"/>
            <w:noWrap/>
            <w:vAlign w:val="bottom"/>
          </w:tcPr>
          <w:p w:rsidR="0073177D" w:rsidRDefault="0073177D">
            <w:pPr>
              <w:jc w:val="right"/>
              <w:rPr>
                <w:rFonts w:ascii="Calibri" w:hAnsi="Calibri"/>
                <w:color w:val="000000"/>
                <w:sz w:val="22"/>
                <w:szCs w:val="22"/>
              </w:rPr>
            </w:pPr>
          </w:p>
        </w:tc>
        <w:tc>
          <w:tcPr>
            <w:tcW w:w="1710" w:type="dxa"/>
          </w:tcPr>
          <w:p w:rsidR="0073177D" w:rsidRDefault="0073177D">
            <w:pPr>
              <w:jc w:val="right"/>
              <w:rPr>
                <w:rFonts w:ascii="Calibri" w:hAnsi="Calibri"/>
                <w:color w:val="000000"/>
                <w:sz w:val="22"/>
                <w:szCs w:val="22"/>
              </w:rPr>
            </w:pPr>
          </w:p>
        </w:tc>
        <w:tc>
          <w:tcPr>
            <w:tcW w:w="630" w:type="dxa"/>
          </w:tcPr>
          <w:p w:rsidR="0073177D" w:rsidRDefault="0073177D">
            <w:pPr>
              <w:jc w:val="right"/>
              <w:rPr>
                <w:rFonts w:ascii="Calibri" w:hAnsi="Calibri"/>
                <w:color w:val="000000"/>
                <w:sz w:val="22"/>
                <w:szCs w:val="22"/>
              </w:rPr>
            </w:pPr>
          </w:p>
        </w:tc>
      </w:tr>
      <w:tr w:rsidR="0073177D" w:rsidTr="00C746ED">
        <w:trPr>
          <w:trHeight w:val="288"/>
        </w:trPr>
        <w:tc>
          <w:tcPr>
            <w:tcW w:w="2621" w:type="dxa"/>
            <w:tcBorders>
              <w:bottom w:val="single" w:sz="4" w:space="0" w:color="auto"/>
            </w:tcBorders>
            <w:shd w:val="clear" w:color="auto" w:fill="auto"/>
            <w:noWrap/>
            <w:vAlign w:val="center"/>
          </w:tcPr>
          <w:p w:rsidR="0073177D" w:rsidRDefault="0073177D" w:rsidP="00323421">
            <w:pPr>
              <w:jc w:val="center"/>
              <w:rPr>
                <w:i/>
                <w:iCs/>
                <w:color w:val="000000"/>
                <w:sz w:val="22"/>
                <w:szCs w:val="22"/>
              </w:rPr>
            </w:pPr>
            <w:r w:rsidRPr="0040446D">
              <w:rPr>
                <w:b/>
                <w:color w:val="000000"/>
                <w:sz w:val="22"/>
                <w:szCs w:val="22"/>
              </w:rPr>
              <w:t>Variable</w:t>
            </w:r>
          </w:p>
        </w:tc>
        <w:tc>
          <w:tcPr>
            <w:tcW w:w="2880" w:type="dxa"/>
            <w:gridSpan w:val="2"/>
            <w:tcBorders>
              <w:bottom w:val="single" w:sz="4" w:space="0" w:color="auto"/>
            </w:tcBorders>
            <w:shd w:val="clear" w:color="auto" w:fill="auto"/>
            <w:noWrap/>
            <w:vAlign w:val="center"/>
          </w:tcPr>
          <w:p w:rsidR="0073177D" w:rsidRDefault="00323421" w:rsidP="00323421">
            <w:pPr>
              <w:jc w:val="center"/>
              <w:rPr>
                <w:rFonts w:ascii="Calibri" w:hAnsi="Calibri"/>
                <w:color w:val="000000"/>
                <w:sz w:val="22"/>
                <w:szCs w:val="22"/>
              </w:rPr>
            </w:pPr>
            <w:proofErr w:type="spellStart"/>
            <w:r>
              <w:rPr>
                <w:b/>
                <w:i/>
                <w:color w:val="000000"/>
                <w:sz w:val="22"/>
                <w:szCs w:val="22"/>
              </w:rPr>
              <w:t>Emp</w:t>
            </w:r>
            <w:proofErr w:type="spellEnd"/>
          </w:p>
        </w:tc>
        <w:tc>
          <w:tcPr>
            <w:tcW w:w="1890" w:type="dxa"/>
            <w:gridSpan w:val="2"/>
            <w:tcBorders>
              <w:bottom w:val="single" w:sz="4" w:space="0" w:color="auto"/>
            </w:tcBorders>
            <w:shd w:val="clear" w:color="auto" w:fill="auto"/>
            <w:noWrap/>
            <w:vAlign w:val="center"/>
          </w:tcPr>
          <w:p w:rsidR="0073177D" w:rsidRDefault="0073177D" w:rsidP="00323421">
            <w:pPr>
              <w:jc w:val="center"/>
              <w:rPr>
                <w:rFonts w:ascii="Calibri" w:hAnsi="Calibri"/>
                <w:color w:val="000000"/>
                <w:sz w:val="22"/>
                <w:szCs w:val="22"/>
              </w:rPr>
            </w:pPr>
            <w:r>
              <w:rPr>
                <w:b/>
                <w:color w:val="000000"/>
                <w:sz w:val="22"/>
                <w:szCs w:val="22"/>
              </w:rPr>
              <w:t xml:space="preserve">Log of </w:t>
            </w:r>
            <w:proofErr w:type="spellStart"/>
            <w:r w:rsidRPr="0073177D">
              <w:rPr>
                <w:b/>
                <w:i/>
                <w:color w:val="000000"/>
                <w:sz w:val="22"/>
                <w:szCs w:val="22"/>
              </w:rPr>
              <w:t>Emp</w:t>
            </w:r>
            <w:proofErr w:type="spellEnd"/>
          </w:p>
        </w:tc>
        <w:tc>
          <w:tcPr>
            <w:tcW w:w="2340" w:type="dxa"/>
            <w:gridSpan w:val="2"/>
            <w:tcBorders>
              <w:bottom w:val="single" w:sz="4" w:space="0" w:color="auto"/>
            </w:tcBorders>
            <w:vAlign w:val="center"/>
          </w:tcPr>
          <w:p w:rsidR="0073177D" w:rsidRPr="0073177D" w:rsidRDefault="0073177D" w:rsidP="00323421">
            <w:pPr>
              <w:jc w:val="center"/>
              <w:rPr>
                <w:rFonts w:ascii="Calibri" w:hAnsi="Calibri"/>
                <w:color w:val="000000"/>
                <w:sz w:val="22"/>
                <w:szCs w:val="22"/>
                <w:vertAlign w:val="superscript"/>
              </w:rPr>
            </w:pPr>
            <w:proofErr w:type="spellStart"/>
            <w:r w:rsidRPr="0073177D">
              <w:rPr>
                <w:b/>
                <w:i/>
                <w:color w:val="000000"/>
                <w:sz w:val="22"/>
                <w:szCs w:val="22"/>
              </w:rPr>
              <w:t>Emp</w:t>
            </w:r>
            <w:r>
              <w:rPr>
                <w:b/>
                <w:i/>
                <w:color w:val="000000"/>
                <w:sz w:val="22"/>
                <w:szCs w:val="22"/>
                <w:vertAlign w:val="superscript"/>
              </w:rPr>
              <w:t>a</w:t>
            </w:r>
            <w:proofErr w:type="spellEnd"/>
          </w:p>
        </w:tc>
      </w:tr>
      <w:tr w:rsidR="0073177D" w:rsidTr="00C746ED">
        <w:trPr>
          <w:trHeight w:val="288"/>
        </w:trPr>
        <w:tc>
          <w:tcPr>
            <w:tcW w:w="2621" w:type="dxa"/>
            <w:tcBorders>
              <w:top w:val="single" w:sz="4" w:space="0" w:color="auto"/>
            </w:tcBorders>
            <w:shd w:val="clear" w:color="auto" w:fill="auto"/>
            <w:noWrap/>
            <w:vAlign w:val="center"/>
          </w:tcPr>
          <w:p w:rsidR="0073177D" w:rsidRDefault="0073177D" w:rsidP="00224BB9">
            <w:pPr>
              <w:jc w:val="center"/>
              <w:rPr>
                <w:i/>
                <w:iCs/>
                <w:color w:val="000000"/>
                <w:sz w:val="22"/>
                <w:szCs w:val="22"/>
              </w:rPr>
            </w:pPr>
          </w:p>
        </w:tc>
        <w:tc>
          <w:tcPr>
            <w:tcW w:w="1530" w:type="dxa"/>
            <w:tcBorders>
              <w:top w:val="single" w:sz="4" w:space="0" w:color="auto"/>
            </w:tcBorders>
            <w:shd w:val="clear" w:color="auto" w:fill="auto"/>
            <w:noWrap/>
            <w:vAlign w:val="bottom"/>
          </w:tcPr>
          <w:p w:rsidR="0073177D" w:rsidRDefault="0073177D">
            <w:pPr>
              <w:jc w:val="right"/>
              <w:rPr>
                <w:rFonts w:ascii="Calibri" w:hAnsi="Calibri"/>
                <w:color w:val="000000"/>
                <w:sz w:val="22"/>
                <w:szCs w:val="22"/>
              </w:rPr>
            </w:pPr>
          </w:p>
        </w:tc>
        <w:tc>
          <w:tcPr>
            <w:tcW w:w="1350" w:type="dxa"/>
            <w:tcBorders>
              <w:top w:val="single" w:sz="4" w:space="0" w:color="auto"/>
            </w:tcBorders>
            <w:shd w:val="clear" w:color="auto" w:fill="auto"/>
            <w:noWrap/>
            <w:vAlign w:val="bottom"/>
          </w:tcPr>
          <w:p w:rsidR="0073177D" w:rsidRDefault="0073177D">
            <w:pPr>
              <w:jc w:val="right"/>
              <w:rPr>
                <w:rFonts w:ascii="Calibri" w:hAnsi="Calibri"/>
                <w:color w:val="000000"/>
                <w:sz w:val="22"/>
                <w:szCs w:val="22"/>
              </w:rPr>
            </w:pPr>
          </w:p>
        </w:tc>
        <w:tc>
          <w:tcPr>
            <w:tcW w:w="1110" w:type="dxa"/>
            <w:tcBorders>
              <w:top w:val="single" w:sz="4" w:space="0" w:color="auto"/>
            </w:tcBorders>
            <w:shd w:val="clear" w:color="auto" w:fill="auto"/>
            <w:noWrap/>
            <w:vAlign w:val="bottom"/>
          </w:tcPr>
          <w:p w:rsidR="0073177D" w:rsidRDefault="0073177D">
            <w:pPr>
              <w:jc w:val="right"/>
              <w:rPr>
                <w:rFonts w:ascii="Calibri" w:hAnsi="Calibri"/>
                <w:color w:val="000000"/>
                <w:sz w:val="22"/>
                <w:szCs w:val="22"/>
              </w:rPr>
            </w:pPr>
          </w:p>
        </w:tc>
        <w:tc>
          <w:tcPr>
            <w:tcW w:w="780" w:type="dxa"/>
            <w:tcBorders>
              <w:top w:val="single" w:sz="4" w:space="0" w:color="auto"/>
            </w:tcBorders>
            <w:shd w:val="clear" w:color="auto" w:fill="auto"/>
            <w:noWrap/>
            <w:vAlign w:val="bottom"/>
          </w:tcPr>
          <w:p w:rsidR="0073177D" w:rsidRDefault="0073177D">
            <w:pPr>
              <w:jc w:val="right"/>
              <w:rPr>
                <w:rFonts w:ascii="Calibri" w:hAnsi="Calibri"/>
                <w:color w:val="000000"/>
                <w:sz w:val="22"/>
                <w:szCs w:val="22"/>
              </w:rPr>
            </w:pPr>
          </w:p>
        </w:tc>
        <w:tc>
          <w:tcPr>
            <w:tcW w:w="1710" w:type="dxa"/>
            <w:tcBorders>
              <w:top w:val="single" w:sz="4" w:space="0" w:color="auto"/>
            </w:tcBorders>
          </w:tcPr>
          <w:p w:rsidR="0073177D" w:rsidRDefault="0073177D">
            <w:pPr>
              <w:jc w:val="right"/>
              <w:rPr>
                <w:rFonts w:ascii="Calibri" w:hAnsi="Calibri"/>
                <w:color w:val="000000"/>
                <w:sz w:val="22"/>
                <w:szCs w:val="22"/>
              </w:rPr>
            </w:pPr>
          </w:p>
        </w:tc>
        <w:tc>
          <w:tcPr>
            <w:tcW w:w="630" w:type="dxa"/>
            <w:tcBorders>
              <w:top w:val="single" w:sz="4" w:space="0" w:color="auto"/>
            </w:tcBorders>
          </w:tcPr>
          <w:p w:rsidR="0073177D" w:rsidRDefault="0073177D">
            <w:pPr>
              <w:jc w:val="right"/>
              <w:rPr>
                <w:rFonts w:ascii="Calibri" w:hAnsi="Calibri"/>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proofErr w:type="spellStart"/>
            <w:r>
              <w:rPr>
                <w:i/>
                <w:iCs/>
                <w:color w:val="000000"/>
                <w:sz w:val="22"/>
                <w:szCs w:val="22"/>
              </w:rPr>
              <w:t>FRate</w:t>
            </w:r>
            <w:proofErr w:type="spellEnd"/>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-8</w:t>
            </w:r>
            <w:r>
              <w:rPr>
                <w:color w:val="000000"/>
                <w:sz w:val="22"/>
                <w:szCs w:val="22"/>
              </w:rPr>
              <w:t>89.202</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tcPr>
          <w:p w:rsidR="0073177D" w:rsidRPr="00EE1993" w:rsidRDefault="0073177D" w:rsidP="0021475B">
            <w:pPr>
              <w:jc w:val="right"/>
              <w:rPr>
                <w:color w:val="000000"/>
                <w:sz w:val="22"/>
                <w:szCs w:val="22"/>
              </w:rPr>
            </w:pPr>
            <w:r w:rsidRPr="00EE1993">
              <w:rPr>
                <w:color w:val="000000"/>
                <w:sz w:val="22"/>
                <w:szCs w:val="22"/>
              </w:rPr>
              <w:t>-</w:t>
            </w:r>
            <w:r>
              <w:rPr>
                <w:color w:val="000000"/>
                <w:sz w:val="22"/>
                <w:szCs w:val="22"/>
              </w:rPr>
              <w:t>61.248</w:t>
            </w:r>
          </w:p>
        </w:tc>
        <w:tc>
          <w:tcPr>
            <w:tcW w:w="780" w:type="dxa"/>
            <w:shd w:val="clear" w:color="auto" w:fill="auto"/>
            <w:noWrap/>
            <w:vAlign w:val="bottom"/>
          </w:tcPr>
          <w:p w:rsidR="0073177D" w:rsidRPr="00EE1993" w:rsidRDefault="0073177D" w:rsidP="005B3892">
            <w:pPr>
              <w:rPr>
                <w:color w:val="000000"/>
                <w:sz w:val="22"/>
                <w:szCs w:val="22"/>
              </w:rPr>
            </w:pPr>
            <w:r w:rsidRPr="00EE1993">
              <w:rPr>
                <w:color w:val="000000"/>
                <w:sz w:val="22"/>
                <w:szCs w:val="22"/>
              </w:rPr>
              <w:t>***</w:t>
            </w:r>
          </w:p>
        </w:tc>
        <w:tc>
          <w:tcPr>
            <w:tcW w:w="1710" w:type="dxa"/>
          </w:tcPr>
          <w:p w:rsidR="0073177D" w:rsidRPr="00EE1993" w:rsidRDefault="0073177D" w:rsidP="00323421">
            <w:pPr>
              <w:jc w:val="right"/>
              <w:rPr>
                <w:color w:val="000000"/>
                <w:sz w:val="22"/>
                <w:szCs w:val="22"/>
              </w:rPr>
            </w:pPr>
            <w:r>
              <w:rPr>
                <w:color w:val="000000"/>
                <w:sz w:val="22"/>
                <w:szCs w:val="22"/>
              </w:rPr>
              <w:t>-888.100</w:t>
            </w:r>
          </w:p>
        </w:tc>
        <w:tc>
          <w:tcPr>
            <w:tcW w:w="630" w:type="dxa"/>
          </w:tcPr>
          <w:p w:rsidR="0073177D" w:rsidRPr="00EE1993" w:rsidRDefault="00323421" w:rsidP="005B3892">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10</w:t>
            </w:r>
            <w:r>
              <w:rPr>
                <w:color w:val="000000"/>
                <w:sz w:val="22"/>
                <w:szCs w:val="22"/>
              </w:rPr>
              <w:t>4</w:t>
            </w:r>
            <w:r w:rsidRPr="00EE1993">
              <w:rPr>
                <w:color w:val="000000"/>
                <w:sz w:val="22"/>
                <w:szCs w:val="22"/>
              </w:rPr>
              <w:t>.3</w:t>
            </w:r>
            <w:r>
              <w:rPr>
                <w:color w:val="000000"/>
                <w:sz w:val="22"/>
                <w:szCs w:val="22"/>
              </w:rPr>
              <w:t>71)</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tcPr>
          <w:p w:rsidR="0073177D" w:rsidRPr="00EE1993" w:rsidRDefault="0073177D" w:rsidP="0021475B">
            <w:pPr>
              <w:jc w:val="right"/>
              <w:rPr>
                <w:color w:val="000000"/>
                <w:sz w:val="22"/>
                <w:szCs w:val="22"/>
              </w:rPr>
            </w:pPr>
            <w:r>
              <w:rPr>
                <w:color w:val="000000"/>
                <w:sz w:val="22"/>
                <w:szCs w:val="22"/>
              </w:rPr>
              <w:t>(13.104)</w:t>
            </w:r>
          </w:p>
        </w:tc>
        <w:tc>
          <w:tcPr>
            <w:tcW w:w="780" w:type="dxa"/>
            <w:shd w:val="clear" w:color="auto" w:fill="auto"/>
            <w:noWrap/>
            <w:vAlign w:val="bottom"/>
          </w:tcPr>
          <w:p w:rsidR="0073177D" w:rsidRPr="00EE1993" w:rsidRDefault="0073177D" w:rsidP="005B3892">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102.738</w:t>
            </w:r>
            <w:r>
              <w:rPr>
                <w:color w:val="000000"/>
                <w:sz w:val="22"/>
                <w:szCs w:val="22"/>
              </w:rPr>
              <w:t>)</w:t>
            </w:r>
          </w:p>
        </w:tc>
        <w:tc>
          <w:tcPr>
            <w:tcW w:w="630" w:type="dxa"/>
          </w:tcPr>
          <w:p w:rsidR="0073177D" w:rsidRPr="00EE1993" w:rsidRDefault="0073177D" w:rsidP="005B3892">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proofErr w:type="spellStart"/>
            <w:r>
              <w:rPr>
                <w:i/>
                <w:iCs/>
                <w:color w:val="000000"/>
                <w:sz w:val="22"/>
                <w:szCs w:val="22"/>
              </w:rPr>
              <w:t>DifRate</w:t>
            </w:r>
            <w:proofErr w:type="spellEnd"/>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27</w:t>
            </w:r>
            <w:r>
              <w:rPr>
                <w:color w:val="000000"/>
                <w:sz w:val="22"/>
                <w:szCs w:val="22"/>
              </w:rPr>
              <w:t>9</w:t>
            </w:r>
            <w:r w:rsidRPr="00EE1993">
              <w:rPr>
                <w:color w:val="000000"/>
                <w:sz w:val="22"/>
                <w:szCs w:val="22"/>
              </w:rPr>
              <w:t>.</w:t>
            </w:r>
            <w:r>
              <w:rPr>
                <w:color w:val="000000"/>
                <w:sz w:val="22"/>
                <w:szCs w:val="22"/>
              </w:rPr>
              <w:t>004</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3</w:t>
            </w:r>
            <w:r>
              <w:rPr>
                <w:color w:val="000000"/>
                <w:sz w:val="22"/>
                <w:szCs w:val="22"/>
              </w:rPr>
              <w:t>9</w:t>
            </w:r>
            <w:r w:rsidRPr="00EE1993">
              <w:rPr>
                <w:color w:val="000000"/>
                <w:sz w:val="22"/>
                <w:szCs w:val="22"/>
              </w:rPr>
              <w:t>.</w:t>
            </w:r>
            <w:r>
              <w:rPr>
                <w:color w:val="000000"/>
                <w:sz w:val="22"/>
                <w:szCs w:val="22"/>
              </w:rPr>
              <w:t>751</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307.588</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3</w:t>
            </w:r>
            <w:r>
              <w:rPr>
                <w:color w:val="000000"/>
                <w:sz w:val="22"/>
                <w:szCs w:val="22"/>
              </w:rPr>
              <w:t>5</w:t>
            </w:r>
            <w:r w:rsidRPr="00EE1993">
              <w:rPr>
                <w:color w:val="000000"/>
                <w:sz w:val="22"/>
                <w:szCs w:val="22"/>
              </w:rPr>
              <w:t>.</w:t>
            </w:r>
            <w:r>
              <w:rPr>
                <w:color w:val="000000"/>
                <w:sz w:val="22"/>
                <w:szCs w:val="22"/>
              </w:rPr>
              <w:t>231)</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5.7</w:t>
            </w:r>
            <w:r>
              <w:rPr>
                <w:color w:val="000000"/>
                <w:sz w:val="22"/>
                <w:szCs w:val="22"/>
              </w:rPr>
              <w:t>27)</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37.511</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proofErr w:type="spellStart"/>
            <w:r>
              <w:rPr>
                <w:i/>
                <w:iCs/>
                <w:color w:val="000000"/>
                <w:sz w:val="22"/>
                <w:szCs w:val="22"/>
              </w:rPr>
              <w:t>Reg</w:t>
            </w:r>
            <w:proofErr w:type="spellEnd"/>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w:t>
            </w:r>
            <w:r>
              <w:rPr>
                <w:color w:val="000000"/>
                <w:sz w:val="22"/>
                <w:szCs w:val="22"/>
              </w:rPr>
              <w:t>2.059</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-0.</w:t>
            </w:r>
            <w:r>
              <w:rPr>
                <w:color w:val="000000"/>
                <w:sz w:val="22"/>
                <w:szCs w:val="22"/>
              </w:rPr>
              <w:t>2938</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-1.995</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0.7</w:t>
            </w:r>
            <w:r>
              <w:rPr>
                <w:color w:val="000000"/>
                <w:sz w:val="22"/>
                <w:szCs w:val="22"/>
              </w:rPr>
              <w:t>40)</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0.0</w:t>
            </w:r>
            <w:r>
              <w:rPr>
                <w:color w:val="000000"/>
                <w:sz w:val="22"/>
                <w:szCs w:val="22"/>
              </w:rPr>
              <w:t>768)</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137525">
            <w:pPr>
              <w:jc w:val="right"/>
              <w:rPr>
                <w:color w:val="000000"/>
                <w:sz w:val="22"/>
                <w:szCs w:val="22"/>
              </w:rPr>
            </w:pPr>
            <w:r>
              <w:rPr>
                <w:color w:val="000000"/>
                <w:sz w:val="22"/>
                <w:szCs w:val="22"/>
              </w:rPr>
              <w:t>(</w:t>
            </w:r>
            <w:r w:rsidR="00323421">
              <w:rPr>
                <w:color w:val="000000"/>
                <w:sz w:val="22"/>
                <w:szCs w:val="22"/>
              </w:rPr>
              <w:t>0.7</w:t>
            </w:r>
            <w:r>
              <w:rPr>
                <w:color w:val="000000"/>
                <w:sz w:val="22"/>
                <w:szCs w:val="22"/>
              </w:rPr>
              <w:t>795)</w:t>
            </w:r>
          </w:p>
        </w:tc>
        <w:tc>
          <w:tcPr>
            <w:tcW w:w="630" w:type="dxa"/>
          </w:tcPr>
          <w:p w:rsidR="0073177D" w:rsidRPr="00EE1993" w:rsidRDefault="0073177D" w:rsidP="00323421">
            <w:pPr>
              <w:ind w:left="-378"/>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Wage</w:t>
            </w:r>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0.</w:t>
            </w:r>
            <w:r>
              <w:rPr>
                <w:color w:val="000000"/>
                <w:sz w:val="22"/>
                <w:szCs w:val="22"/>
              </w:rPr>
              <w:t>7027</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0.0</w:t>
            </w:r>
            <w:r>
              <w:rPr>
                <w:color w:val="000000"/>
                <w:sz w:val="22"/>
                <w:szCs w:val="22"/>
              </w:rPr>
              <w:t>417</w:t>
            </w:r>
            <w:r w:rsidRPr="00EE1993">
              <w:rPr>
                <w:color w:val="000000"/>
                <w:sz w:val="22"/>
                <w:szCs w:val="22"/>
              </w:rPr>
              <w:t>2</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0.8306</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0.08</w:t>
            </w:r>
            <w:r>
              <w:rPr>
                <w:color w:val="000000"/>
                <w:sz w:val="22"/>
                <w:szCs w:val="22"/>
              </w:rPr>
              <w:t>37)</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0.01</w:t>
            </w:r>
            <w:r>
              <w:rPr>
                <w:color w:val="000000"/>
                <w:sz w:val="22"/>
                <w:szCs w:val="22"/>
              </w:rPr>
              <w:t>18)</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0.0850</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Metro</w:t>
            </w:r>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0.21</w:t>
            </w:r>
            <w:r>
              <w:rPr>
                <w:color w:val="000000"/>
                <w:sz w:val="22"/>
                <w:szCs w:val="22"/>
              </w:rPr>
              <w:t>70</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0.05</w:t>
            </w:r>
            <w:r>
              <w:rPr>
                <w:color w:val="000000"/>
                <w:sz w:val="22"/>
                <w:szCs w:val="22"/>
              </w:rPr>
              <w:t>30</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0.2022</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0.020</w:t>
            </w:r>
            <w:r>
              <w:rPr>
                <w:color w:val="000000"/>
                <w:sz w:val="22"/>
                <w:szCs w:val="22"/>
              </w:rPr>
              <w:t>8)</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0.00</w:t>
            </w:r>
            <w:r>
              <w:rPr>
                <w:color w:val="000000"/>
                <w:sz w:val="22"/>
                <w:szCs w:val="22"/>
              </w:rPr>
              <w:t>40)</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0.0245</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PIT</w:t>
            </w:r>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1</w:t>
            </w:r>
            <w:r>
              <w:rPr>
                <w:color w:val="000000"/>
                <w:sz w:val="22"/>
                <w:szCs w:val="22"/>
              </w:rPr>
              <w:t>51.063</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12.851</w:t>
            </w:r>
          </w:p>
        </w:tc>
        <w:tc>
          <w:tcPr>
            <w:tcW w:w="780" w:type="dxa"/>
            <w:shd w:val="clear" w:color="auto" w:fill="auto"/>
            <w:noWrap/>
            <w:vAlign w:val="bottom"/>
            <w:hideMark/>
          </w:tcPr>
          <w:p w:rsidR="0073177D" w:rsidRPr="00EE1993" w:rsidRDefault="0073177D" w:rsidP="00224BB9">
            <w:pPr>
              <w:rPr>
                <w:color w:val="000000"/>
                <w:sz w:val="22"/>
                <w:szCs w:val="22"/>
              </w:rPr>
            </w:pPr>
            <w:r>
              <w:rPr>
                <w:color w:val="000000"/>
                <w:sz w:val="22"/>
                <w:szCs w:val="22"/>
              </w:rPr>
              <w:t>**</w:t>
            </w:r>
          </w:p>
        </w:tc>
        <w:tc>
          <w:tcPr>
            <w:tcW w:w="1710" w:type="dxa"/>
          </w:tcPr>
          <w:p w:rsidR="0073177D" w:rsidRDefault="00323421" w:rsidP="00323421">
            <w:pPr>
              <w:jc w:val="right"/>
              <w:rPr>
                <w:color w:val="000000"/>
                <w:sz w:val="22"/>
                <w:szCs w:val="22"/>
              </w:rPr>
            </w:pPr>
            <w:r>
              <w:rPr>
                <w:color w:val="000000"/>
                <w:sz w:val="22"/>
                <w:szCs w:val="22"/>
              </w:rPr>
              <w:t>104.039</w:t>
            </w:r>
          </w:p>
        </w:tc>
        <w:tc>
          <w:tcPr>
            <w:tcW w:w="630" w:type="dxa"/>
          </w:tcPr>
          <w:p w:rsidR="0073177D"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46.</w:t>
            </w:r>
            <w:r>
              <w:rPr>
                <w:color w:val="000000"/>
                <w:sz w:val="22"/>
                <w:szCs w:val="22"/>
              </w:rPr>
              <w:t>843)</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5.</w:t>
            </w:r>
            <w:r>
              <w:rPr>
                <w:color w:val="000000"/>
                <w:sz w:val="22"/>
                <w:szCs w:val="22"/>
              </w:rPr>
              <w:t>954)</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44.900</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ST</w:t>
            </w: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53.603</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-3.218</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323421" w:rsidP="00323421">
            <w:pPr>
              <w:jc w:val="right"/>
              <w:rPr>
                <w:color w:val="000000"/>
                <w:sz w:val="22"/>
                <w:szCs w:val="22"/>
              </w:rPr>
            </w:pPr>
            <w:r>
              <w:rPr>
                <w:color w:val="000000"/>
                <w:sz w:val="22"/>
                <w:szCs w:val="22"/>
              </w:rPr>
              <w:t>38.584</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(32.850)</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(5.430)</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34.846</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BA</w:t>
            </w:r>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-0.81</w:t>
            </w:r>
            <w:r>
              <w:rPr>
                <w:color w:val="000000"/>
                <w:sz w:val="22"/>
                <w:szCs w:val="22"/>
              </w:rPr>
              <w:t>89</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0.</w:t>
            </w:r>
            <w:r>
              <w:rPr>
                <w:color w:val="000000"/>
                <w:sz w:val="22"/>
                <w:szCs w:val="22"/>
              </w:rPr>
              <w:t>0893</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-0.5691</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0.14</w:t>
            </w:r>
            <w:r>
              <w:rPr>
                <w:color w:val="000000"/>
                <w:sz w:val="22"/>
                <w:szCs w:val="22"/>
              </w:rPr>
              <w:t>21)</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0.02</w:t>
            </w:r>
            <w:r>
              <w:rPr>
                <w:color w:val="000000"/>
                <w:sz w:val="22"/>
                <w:szCs w:val="22"/>
              </w:rPr>
              <w:t>49)</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0</w:t>
            </w:r>
            <w:r>
              <w:rPr>
                <w:color w:val="000000"/>
                <w:sz w:val="22"/>
                <w:szCs w:val="22"/>
              </w:rPr>
              <w:t>.</w:t>
            </w:r>
            <w:r w:rsidR="00323421">
              <w:rPr>
                <w:color w:val="000000"/>
                <w:sz w:val="22"/>
                <w:szCs w:val="22"/>
              </w:rPr>
              <w:t>1623</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Over65</w:t>
            </w:r>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-0.7</w:t>
            </w:r>
            <w:r>
              <w:rPr>
                <w:color w:val="000000"/>
                <w:sz w:val="22"/>
                <w:szCs w:val="22"/>
              </w:rPr>
              <w:t>370</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0.1</w:t>
            </w:r>
            <w:r>
              <w:rPr>
                <w:color w:val="000000"/>
                <w:sz w:val="22"/>
                <w:szCs w:val="22"/>
              </w:rPr>
              <w:t>074</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-0.5195</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0.22</w:t>
            </w:r>
            <w:r>
              <w:rPr>
                <w:color w:val="000000"/>
                <w:sz w:val="22"/>
                <w:szCs w:val="22"/>
              </w:rPr>
              <w:t>31)</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0.03</w:t>
            </w:r>
            <w:r>
              <w:rPr>
                <w:color w:val="000000"/>
                <w:sz w:val="22"/>
                <w:szCs w:val="22"/>
              </w:rPr>
              <w:t>67)</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0.2900</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MFG</w:t>
            </w:r>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-0.2</w:t>
            </w:r>
            <w:r>
              <w:rPr>
                <w:color w:val="000000"/>
                <w:sz w:val="22"/>
                <w:szCs w:val="22"/>
              </w:rPr>
              <w:t>806</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0.1</w:t>
            </w:r>
            <w:r>
              <w:rPr>
                <w:color w:val="000000"/>
                <w:sz w:val="22"/>
                <w:szCs w:val="22"/>
              </w:rPr>
              <w:t>153</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-0.3165</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0.0</w:t>
            </w:r>
            <w:r>
              <w:rPr>
                <w:color w:val="000000"/>
                <w:sz w:val="22"/>
                <w:szCs w:val="22"/>
              </w:rPr>
              <w:t>927)</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0.01</w:t>
            </w:r>
            <w:r>
              <w:rPr>
                <w:color w:val="000000"/>
                <w:sz w:val="22"/>
                <w:szCs w:val="22"/>
              </w:rPr>
              <w:t>50)</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0.0973</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proofErr w:type="spellStart"/>
            <w:r>
              <w:rPr>
                <w:i/>
                <w:iCs/>
                <w:color w:val="000000"/>
                <w:sz w:val="22"/>
                <w:szCs w:val="22"/>
              </w:rPr>
              <w:t>PCInc</w:t>
            </w:r>
            <w:proofErr w:type="spellEnd"/>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-0.9</w:t>
            </w:r>
            <w:r>
              <w:rPr>
                <w:color w:val="000000"/>
                <w:sz w:val="22"/>
                <w:szCs w:val="22"/>
              </w:rPr>
              <w:t>361</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-0.1</w:t>
            </w:r>
            <w:r>
              <w:rPr>
                <w:color w:val="000000"/>
                <w:sz w:val="22"/>
                <w:szCs w:val="22"/>
              </w:rPr>
              <w:t>847</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-1.162</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hideMark/>
          </w:tcPr>
          <w:p w:rsidR="0073177D" w:rsidRDefault="0073177D" w:rsidP="00224BB9">
            <w:pPr>
              <w:jc w:val="center"/>
              <w:rPr>
                <w:color w:val="000000"/>
                <w:sz w:val="20"/>
                <w:szCs w:val="20"/>
              </w:rPr>
            </w:pPr>
          </w:p>
        </w:tc>
        <w:tc>
          <w:tcPr>
            <w:tcW w:w="1530" w:type="dxa"/>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0.14</w:t>
            </w:r>
            <w:r>
              <w:rPr>
                <w:color w:val="000000"/>
                <w:sz w:val="22"/>
                <w:szCs w:val="22"/>
              </w:rPr>
              <w:t>99)</w:t>
            </w:r>
          </w:p>
        </w:tc>
        <w:tc>
          <w:tcPr>
            <w:tcW w:w="1350" w:type="dxa"/>
            <w:shd w:val="clear" w:color="auto" w:fill="auto"/>
            <w:noWrap/>
            <w:vAlign w:val="bottom"/>
            <w:hideMark/>
          </w:tcPr>
          <w:p w:rsidR="0073177D" w:rsidRPr="00EE1993" w:rsidRDefault="0073177D" w:rsidP="00224BB9">
            <w:pPr>
              <w:rPr>
                <w:color w:val="000000"/>
                <w:sz w:val="22"/>
                <w:szCs w:val="22"/>
              </w:rPr>
            </w:pPr>
          </w:p>
        </w:tc>
        <w:tc>
          <w:tcPr>
            <w:tcW w:w="1110" w:type="dxa"/>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0.021</w:t>
            </w:r>
            <w:r>
              <w:rPr>
                <w:color w:val="000000"/>
                <w:sz w:val="22"/>
                <w:szCs w:val="22"/>
              </w:rPr>
              <w:t>4)</w:t>
            </w:r>
          </w:p>
        </w:tc>
        <w:tc>
          <w:tcPr>
            <w:tcW w:w="780" w:type="dxa"/>
            <w:shd w:val="clear" w:color="auto" w:fill="auto"/>
            <w:noWrap/>
            <w:vAlign w:val="bottom"/>
            <w:hideMark/>
          </w:tcPr>
          <w:p w:rsidR="0073177D" w:rsidRPr="00EE1993" w:rsidRDefault="0073177D" w:rsidP="00224BB9">
            <w:pPr>
              <w:rPr>
                <w:color w:val="000000"/>
                <w:sz w:val="22"/>
                <w:szCs w:val="22"/>
              </w:rPr>
            </w:pPr>
          </w:p>
        </w:tc>
        <w:tc>
          <w:tcPr>
            <w:tcW w:w="1710" w:type="dxa"/>
          </w:tcPr>
          <w:p w:rsidR="0073177D" w:rsidRPr="00EE1993" w:rsidRDefault="00137525" w:rsidP="00323421">
            <w:pPr>
              <w:jc w:val="right"/>
              <w:rPr>
                <w:color w:val="000000"/>
                <w:sz w:val="22"/>
                <w:szCs w:val="22"/>
              </w:rPr>
            </w:pPr>
            <w:r>
              <w:rPr>
                <w:color w:val="000000"/>
                <w:sz w:val="22"/>
                <w:szCs w:val="22"/>
              </w:rPr>
              <w:t>(</w:t>
            </w:r>
            <w:r w:rsidR="00323421">
              <w:rPr>
                <w:color w:val="000000"/>
                <w:sz w:val="22"/>
                <w:szCs w:val="22"/>
              </w:rPr>
              <w:t>0.2000</w:t>
            </w:r>
            <w:r>
              <w:rPr>
                <w:color w:val="000000"/>
                <w:sz w:val="22"/>
                <w:szCs w:val="22"/>
              </w:rPr>
              <w:t>)</w:t>
            </w:r>
          </w:p>
        </w:tc>
        <w:tc>
          <w:tcPr>
            <w:tcW w:w="630" w:type="dxa"/>
          </w:tcPr>
          <w:p w:rsidR="0073177D" w:rsidRPr="00EE1993" w:rsidRDefault="0073177D" w:rsidP="00224BB9">
            <w:pPr>
              <w:rPr>
                <w:color w:val="000000"/>
                <w:sz w:val="22"/>
                <w:szCs w:val="22"/>
              </w:rPr>
            </w:pPr>
          </w:p>
        </w:tc>
      </w:tr>
      <w:tr w:rsidR="0073177D" w:rsidRPr="00EE1993" w:rsidTr="00C746ED">
        <w:trPr>
          <w:trHeight w:val="288"/>
        </w:trPr>
        <w:tc>
          <w:tcPr>
            <w:tcW w:w="2621" w:type="dxa"/>
            <w:shd w:val="clear" w:color="auto" w:fill="auto"/>
            <w:noWrap/>
            <w:vAlign w:val="center"/>
            <w:hideMark/>
          </w:tcPr>
          <w:p w:rsidR="0073177D" w:rsidRDefault="0073177D" w:rsidP="00224BB9">
            <w:pPr>
              <w:jc w:val="center"/>
              <w:rPr>
                <w:i/>
                <w:iCs/>
                <w:color w:val="000000"/>
                <w:sz w:val="22"/>
                <w:szCs w:val="22"/>
              </w:rPr>
            </w:pPr>
            <w:r>
              <w:rPr>
                <w:i/>
                <w:iCs/>
                <w:color w:val="000000"/>
                <w:sz w:val="22"/>
                <w:szCs w:val="22"/>
              </w:rPr>
              <w:t>HI</w:t>
            </w:r>
          </w:p>
        </w:tc>
        <w:tc>
          <w:tcPr>
            <w:tcW w:w="1530" w:type="dxa"/>
            <w:shd w:val="clear" w:color="auto" w:fill="auto"/>
            <w:noWrap/>
            <w:vAlign w:val="bottom"/>
            <w:hideMark/>
          </w:tcPr>
          <w:p w:rsidR="0073177D" w:rsidRPr="00EE1993" w:rsidRDefault="0073177D" w:rsidP="005B3892">
            <w:pPr>
              <w:jc w:val="right"/>
              <w:rPr>
                <w:color w:val="000000"/>
                <w:sz w:val="22"/>
                <w:szCs w:val="22"/>
              </w:rPr>
            </w:pPr>
            <w:r w:rsidRPr="00EE1993">
              <w:rPr>
                <w:color w:val="000000"/>
                <w:sz w:val="22"/>
                <w:szCs w:val="22"/>
              </w:rPr>
              <w:t>-339.</w:t>
            </w:r>
            <w:r>
              <w:rPr>
                <w:color w:val="000000"/>
                <w:sz w:val="22"/>
                <w:szCs w:val="22"/>
              </w:rPr>
              <w:t>042</w:t>
            </w:r>
          </w:p>
        </w:tc>
        <w:tc>
          <w:tcPr>
            <w:tcW w:w="135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110" w:type="dxa"/>
            <w:shd w:val="clear" w:color="auto" w:fill="auto"/>
            <w:noWrap/>
            <w:vAlign w:val="bottom"/>
            <w:hideMark/>
          </w:tcPr>
          <w:p w:rsidR="0073177D" w:rsidRPr="00EE1993" w:rsidRDefault="0073177D" w:rsidP="0021475B">
            <w:pPr>
              <w:jc w:val="right"/>
              <w:rPr>
                <w:color w:val="000000"/>
                <w:sz w:val="22"/>
                <w:szCs w:val="22"/>
              </w:rPr>
            </w:pPr>
            <w:r w:rsidRPr="00EE1993">
              <w:rPr>
                <w:color w:val="000000"/>
                <w:sz w:val="22"/>
                <w:szCs w:val="22"/>
              </w:rPr>
              <w:t>-4</w:t>
            </w:r>
            <w:r>
              <w:rPr>
                <w:color w:val="000000"/>
                <w:sz w:val="22"/>
                <w:szCs w:val="22"/>
              </w:rPr>
              <w:t>1</w:t>
            </w:r>
            <w:r w:rsidRPr="00EE1993">
              <w:rPr>
                <w:color w:val="000000"/>
                <w:sz w:val="22"/>
                <w:szCs w:val="22"/>
              </w:rPr>
              <w:t>.</w:t>
            </w:r>
            <w:r>
              <w:rPr>
                <w:color w:val="000000"/>
                <w:sz w:val="22"/>
                <w:szCs w:val="22"/>
              </w:rPr>
              <w:t>807</w:t>
            </w:r>
          </w:p>
        </w:tc>
        <w:tc>
          <w:tcPr>
            <w:tcW w:w="780" w:type="dxa"/>
            <w:shd w:val="clear" w:color="auto" w:fill="auto"/>
            <w:noWrap/>
            <w:vAlign w:val="bottom"/>
            <w:hideMark/>
          </w:tcPr>
          <w:p w:rsidR="0073177D" w:rsidRPr="00EE1993" w:rsidRDefault="0073177D" w:rsidP="00224BB9">
            <w:pPr>
              <w:rPr>
                <w:color w:val="000000"/>
                <w:sz w:val="22"/>
                <w:szCs w:val="22"/>
              </w:rPr>
            </w:pPr>
            <w:r w:rsidRPr="00EE1993">
              <w:rPr>
                <w:color w:val="000000"/>
                <w:sz w:val="22"/>
                <w:szCs w:val="22"/>
              </w:rPr>
              <w:t>***</w:t>
            </w:r>
          </w:p>
        </w:tc>
        <w:tc>
          <w:tcPr>
            <w:tcW w:w="1710" w:type="dxa"/>
          </w:tcPr>
          <w:p w:rsidR="0073177D" w:rsidRPr="00EE1993" w:rsidRDefault="00323421" w:rsidP="00323421">
            <w:pPr>
              <w:jc w:val="right"/>
              <w:rPr>
                <w:color w:val="000000"/>
                <w:sz w:val="22"/>
                <w:szCs w:val="22"/>
              </w:rPr>
            </w:pPr>
            <w:r>
              <w:rPr>
                <w:color w:val="000000"/>
                <w:sz w:val="22"/>
                <w:szCs w:val="22"/>
              </w:rPr>
              <w:t>-337.308</w:t>
            </w:r>
          </w:p>
        </w:tc>
        <w:tc>
          <w:tcPr>
            <w:tcW w:w="630" w:type="dxa"/>
          </w:tcPr>
          <w:p w:rsidR="0073177D" w:rsidRPr="00EE1993" w:rsidRDefault="00323421" w:rsidP="00224BB9">
            <w:pPr>
              <w:rPr>
                <w:color w:val="000000"/>
                <w:sz w:val="22"/>
                <w:szCs w:val="22"/>
              </w:rPr>
            </w:pPr>
            <w:r>
              <w:rPr>
                <w:color w:val="000000"/>
                <w:sz w:val="22"/>
                <w:szCs w:val="22"/>
              </w:rPr>
              <w:t>***</w:t>
            </w:r>
          </w:p>
        </w:tc>
      </w:tr>
      <w:tr w:rsidR="0073177D" w:rsidRPr="00EE1993" w:rsidTr="00C746ED">
        <w:trPr>
          <w:trHeight w:val="288"/>
        </w:trPr>
        <w:tc>
          <w:tcPr>
            <w:tcW w:w="2621" w:type="dxa"/>
            <w:tcBorders>
              <w:bottom w:val="single" w:sz="4" w:space="0" w:color="auto"/>
            </w:tcBorders>
            <w:shd w:val="clear" w:color="auto" w:fill="auto"/>
            <w:noWrap/>
            <w:vAlign w:val="bottom"/>
            <w:hideMark/>
          </w:tcPr>
          <w:p w:rsidR="0073177D" w:rsidRDefault="0073177D">
            <w:pPr>
              <w:jc w:val="right"/>
              <w:rPr>
                <w:rFonts w:ascii="Calibri" w:hAnsi="Calibri"/>
                <w:color w:val="000000"/>
                <w:sz w:val="22"/>
                <w:szCs w:val="22"/>
              </w:rPr>
            </w:pPr>
          </w:p>
        </w:tc>
        <w:tc>
          <w:tcPr>
            <w:tcW w:w="1530" w:type="dxa"/>
            <w:tcBorders>
              <w:bottom w:val="single" w:sz="4" w:space="0" w:color="auto"/>
            </w:tcBorders>
            <w:shd w:val="clear" w:color="auto" w:fill="auto"/>
            <w:noWrap/>
            <w:vAlign w:val="bottom"/>
            <w:hideMark/>
          </w:tcPr>
          <w:p w:rsidR="0073177D" w:rsidRPr="00EE1993" w:rsidRDefault="0073177D" w:rsidP="005B3892">
            <w:pPr>
              <w:jc w:val="right"/>
              <w:rPr>
                <w:color w:val="000000"/>
                <w:sz w:val="22"/>
                <w:szCs w:val="22"/>
              </w:rPr>
            </w:pPr>
            <w:r>
              <w:rPr>
                <w:color w:val="000000"/>
                <w:sz w:val="22"/>
                <w:szCs w:val="22"/>
              </w:rPr>
              <w:t>(</w:t>
            </w:r>
            <w:r w:rsidRPr="00EE1993">
              <w:rPr>
                <w:color w:val="000000"/>
                <w:sz w:val="22"/>
                <w:szCs w:val="22"/>
              </w:rPr>
              <w:t>61.</w:t>
            </w:r>
            <w:r>
              <w:rPr>
                <w:color w:val="000000"/>
                <w:sz w:val="22"/>
                <w:szCs w:val="22"/>
              </w:rPr>
              <w:t>839)</w:t>
            </w:r>
          </w:p>
        </w:tc>
        <w:tc>
          <w:tcPr>
            <w:tcW w:w="1350" w:type="dxa"/>
            <w:tcBorders>
              <w:bottom w:val="single" w:sz="4" w:space="0" w:color="auto"/>
            </w:tcBorders>
            <w:shd w:val="clear" w:color="auto" w:fill="auto"/>
            <w:noWrap/>
            <w:vAlign w:val="bottom"/>
            <w:hideMark/>
          </w:tcPr>
          <w:p w:rsidR="0073177D" w:rsidRPr="00EE1993" w:rsidRDefault="0073177D" w:rsidP="00224BB9">
            <w:pPr>
              <w:rPr>
                <w:color w:val="000000"/>
                <w:sz w:val="22"/>
                <w:szCs w:val="22"/>
              </w:rPr>
            </w:pPr>
          </w:p>
        </w:tc>
        <w:tc>
          <w:tcPr>
            <w:tcW w:w="1110" w:type="dxa"/>
            <w:tcBorders>
              <w:bottom w:val="single" w:sz="4" w:space="0" w:color="auto"/>
            </w:tcBorders>
            <w:shd w:val="clear" w:color="auto" w:fill="auto"/>
            <w:noWrap/>
            <w:vAlign w:val="bottom"/>
            <w:hideMark/>
          </w:tcPr>
          <w:p w:rsidR="0073177D" w:rsidRPr="00EE1993" w:rsidRDefault="0073177D" w:rsidP="0021475B">
            <w:pPr>
              <w:jc w:val="right"/>
              <w:rPr>
                <w:color w:val="000000"/>
                <w:sz w:val="22"/>
                <w:szCs w:val="22"/>
              </w:rPr>
            </w:pPr>
            <w:r>
              <w:rPr>
                <w:color w:val="000000"/>
                <w:sz w:val="22"/>
                <w:szCs w:val="22"/>
              </w:rPr>
              <w:t>(</w:t>
            </w:r>
            <w:r w:rsidRPr="00EE1993">
              <w:rPr>
                <w:color w:val="000000"/>
                <w:sz w:val="22"/>
                <w:szCs w:val="22"/>
              </w:rPr>
              <w:t>7.</w:t>
            </w:r>
            <w:r>
              <w:rPr>
                <w:color w:val="000000"/>
                <w:sz w:val="22"/>
                <w:szCs w:val="22"/>
              </w:rPr>
              <w:t>285)</w:t>
            </w:r>
          </w:p>
        </w:tc>
        <w:tc>
          <w:tcPr>
            <w:tcW w:w="780" w:type="dxa"/>
            <w:tcBorders>
              <w:bottom w:val="single" w:sz="4" w:space="0" w:color="auto"/>
            </w:tcBorders>
            <w:shd w:val="clear" w:color="auto" w:fill="auto"/>
            <w:noWrap/>
            <w:vAlign w:val="bottom"/>
            <w:hideMark/>
          </w:tcPr>
          <w:p w:rsidR="0073177D" w:rsidRPr="00EE1993" w:rsidRDefault="0073177D" w:rsidP="00224BB9">
            <w:pPr>
              <w:rPr>
                <w:color w:val="000000"/>
                <w:sz w:val="22"/>
                <w:szCs w:val="22"/>
              </w:rPr>
            </w:pPr>
          </w:p>
        </w:tc>
        <w:tc>
          <w:tcPr>
            <w:tcW w:w="1710" w:type="dxa"/>
            <w:tcBorders>
              <w:bottom w:val="single" w:sz="4" w:space="0" w:color="auto"/>
            </w:tcBorders>
          </w:tcPr>
          <w:p w:rsidR="0073177D" w:rsidRPr="00EE1993" w:rsidRDefault="00137525" w:rsidP="00323421">
            <w:pPr>
              <w:jc w:val="right"/>
              <w:rPr>
                <w:color w:val="000000"/>
                <w:sz w:val="22"/>
                <w:szCs w:val="22"/>
              </w:rPr>
            </w:pPr>
            <w:r>
              <w:rPr>
                <w:color w:val="000000"/>
                <w:sz w:val="22"/>
                <w:szCs w:val="22"/>
              </w:rPr>
              <w:t>(67.120)</w:t>
            </w:r>
          </w:p>
        </w:tc>
        <w:tc>
          <w:tcPr>
            <w:tcW w:w="630" w:type="dxa"/>
            <w:tcBorders>
              <w:bottom w:val="single" w:sz="4" w:space="0" w:color="auto"/>
            </w:tcBorders>
          </w:tcPr>
          <w:p w:rsidR="0073177D" w:rsidRPr="00EE1993" w:rsidRDefault="0073177D" w:rsidP="00224BB9">
            <w:pPr>
              <w:rPr>
                <w:color w:val="000000"/>
                <w:sz w:val="22"/>
                <w:szCs w:val="22"/>
              </w:rPr>
            </w:pPr>
          </w:p>
        </w:tc>
      </w:tr>
      <w:tr w:rsidR="0073177D" w:rsidRPr="00EE1993" w:rsidTr="00137525">
        <w:trPr>
          <w:trHeight w:val="288"/>
        </w:trPr>
        <w:tc>
          <w:tcPr>
            <w:tcW w:w="2621" w:type="dxa"/>
            <w:tcBorders>
              <w:top w:val="single" w:sz="4" w:space="0" w:color="auto"/>
            </w:tcBorders>
            <w:shd w:val="clear" w:color="auto" w:fill="auto"/>
            <w:noWrap/>
            <w:vAlign w:val="bottom"/>
          </w:tcPr>
          <w:p w:rsidR="0073177D" w:rsidRDefault="0073177D" w:rsidP="0037345D">
            <w:pPr>
              <w:ind w:left="-18"/>
              <w:rPr>
                <w:color w:val="000000"/>
                <w:sz w:val="22"/>
                <w:szCs w:val="22"/>
              </w:rPr>
            </w:pPr>
            <w:r>
              <w:rPr>
                <w:color w:val="000000"/>
                <w:sz w:val="22"/>
                <w:szCs w:val="22"/>
              </w:rPr>
              <w:t xml:space="preserve">Elasticity with respect to </w:t>
            </w:r>
            <w:proofErr w:type="spellStart"/>
            <w:r w:rsidRPr="0040446D">
              <w:rPr>
                <w:i/>
                <w:color w:val="000000"/>
                <w:sz w:val="22"/>
                <w:szCs w:val="22"/>
              </w:rPr>
              <w:t>FRate</w:t>
            </w:r>
            <w:proofErr w:type="spellEnd"/>
          </w:p>
        </w:tc>
        <w:tc>
          <w:tcPr>
            <w:tcW w:w="1530" w:type="dxa"/>
            <w:tcBorders>
              <w:top w:val="single" w:sz="4" w:space="0" w:color="auto"/>
            </w:tcBorders>
            <w:shd w:val="clear" w:color="auto" w:fill="auto"/>
            <w:noWrap/>
            <w:vAlign w:val="bottom"/>
          </w:tcPr>
          <w:p w:rsidR="0073177D" w:rsidRPr="00EE1993" w:rsidRDefault="0073177D" w:rsidP="005B3892">
            <w:pPr>
              <w:jc w:val="right"/>
              <w:rPr>
                <w:color w:val="000000"/>
                <w:sz w:val="22"/>
                <w:szCs w:val="22"/>
              </w:rPr>
            </w:pPr>
            <w:r w:rsidRPr="00EE1993">
              <w:rPr>
                <w:color w:val="000000"/>
                <w:sz w:val="22"/>
                <w:szCs w:val="22"/>
              </w:rPr>
              <w:t>-1.4</w:t>
            </w:r>
            <w:r>
              <w:rPr>
                <w:color w:val="000000"/>
                <w:sz w:val="22"/>
                <w:szCs w:val="22"/>
              </w:rPr>
              <w:t>3</w:t>
            </w:r>
            <w:r w:rsidRPr="00EE1993">
              <w:rPr>
                <w:color w:val="000000"/>
                <w:sz w:val="22"/>
                <w:szCs w:val="22"/>
              </w:rPr>
              <w:t>2</w:t>
            </w:r>
          </w:p>
        </w:tc>
        <w:tc>
          <w:tcPr>
            <w:tcW w:w="1350" w:type="dxa"/>
            <w:tcBorders>
              <w:top w:val="single" w:sz="4" w:space="0" w:color="auto"/>
            </w:tcBorders>
            <w:shd w:val="clear" w:color="auto" w:fill="auto"/>
            <w:noWrap/>
            <w:vAlign w:val="bottom"/>
          </w:tcPr>
          <w:p w:rsidR="0073177D" w:rsidRPr="00EE1993" w:rsidRDefault="0073177D" w:rsidP="00224BB9">
            <w:pPr>
              <w:rPr>
                <w:color w:val="000000"/>
                <w:sz w:val="22"/>
                <w:szCs w:val="22"/>
              </w:rPr>
            </w:pPr>
            <w:r w:rsidRPr="00EE1993">
              <w:rPr>
                <w:color w:val="000000"/>
                <w:sz w:val="22"/>
                <w:szCs w:val="22"/>
              </w:rPr>
              <w:t>***</w:t>
            </w:r>
          </w:p>
        </w:tc>
        <w:tc>
          <w:tcPr>
            <w:tcW w:w="1110" w:type="dxa"/>
            <w:tcBorders>
              <w:top w:val="single" w:sz="4" w:space="0" w:color="auto"/>
            </w:tcBorders>
            <w:shd w:val="clear" w:color="auto" w:fill="auto"/>
            <w:noWrap/>
            <w:vAlign w:val="bottom"/>
          </w:tcPr>
          <w:p w:rsidR="0073177D" w:rsidRPr="00EE1993" w:rsidRDefault="0073177D">
            <w:pPr>
              <w:jc w:val="right"/>
              <w:rPr>
                <w:color w:val="000000"/>
                <w:sz w:val="22"/>
                <w:szCs w:val="22"/>
              </w:rPr>
            </w:pPr>
            <w:r>
              <w:rPr>
                <w:color w:val="000000"/>
                <w:sz w:val="22"/>
                <w:szCs w:val="22"/>
              </w:rPr>
              <w:t>-0.489</w:t>
            </w:r>
          </w:p>
        </w:tc>
        <w:tc>
          <w:tcPr>
            <w:tcW w:w="780" w:type="dxa"/>
            <w:tcBorders>
              <w:top w:val="single" w:sz="4" w:space="0" w:color="auto"/>
            </w:tcBorders>
            <w:shd w:val="clear" w:color="auto" w:fill="auto"/>
            <w:noWrap/>
            <w:vAlign w:val="bottom"/>
          </w:tcPr>
          <w:p w:rsidR="0073177D" w:rsidRPr="00EE1993" w:rsidRDefault="0073177D" w:rsidP="00B2147C">
            <w:pPr>
              <w:rPr>
                <w:color w:val="000000"/>
                <w:sz w:val="22"/>
                <w:szCs w:val="22"/>
              </w:rPr>
            </w:pPr>
            <w:r>
              <w:rPr>
                <w:color w:val="000000"/>
                <w:sz w:val="22"/>
                <w:szCs w:val="22"/>
              </w:rPr>
              <w:t>***</w:t>
            </w:r>
          </w:p>
        </w:tc>
        <w:tc>
          <w:tcPr>
            <w:tcW w:w="1710" w:type="dxa"/>
            <w:tcBorders>
              <w:top w:val="single" w:sz="4" w:space="0" w:color="auto"/>
            </w:tcBorders>
            <w:vAlign w:val="bottom"/>
          </w:tcPr>
          <w:p w:rsidR="0073177D" w:rsidRDefault="00323421" w:rsidP="00137525">
            <w:pPr>
              <w:jc w:val="right"/>
              <w:rPr>
                <w:color w:val="000000"/>
                <w:sz w:val="22"/>
                <w:szCs w:val="22"/>
              </w:rPr>
            </w:pPr>
            <w:r>
              <w:rPr>
                <w:color w:val="000000"/>
                <w:sz w:val="22"/>
                <w:szCs w:val="22"/>
              </w:rPr>
              <w:t>-1.365</w:t>
            </w:r>
          </w:p>
        </w:tc>
        <w:tc>
          <w:tcPr>
            <w:tcW w:w="630" w:type="dxa"/>
            <w:tcBorders>
              <w:top w:val="single" w:sz="4" w:space="0" w:color="auto"/>
            </w:tcBorders>
            <w:vAlign w:val="bottom"/>
          </w:tcPr>
          <w:p w:rsidR="0073177D" w:rsidRDefault="00137525" w:rsidP="00137525">
            <w:pPr>
              <w:rPr>
                <w:color w:val="000000"/>
                <w:sz w:val="22"/>
                <w:szCs w:val="22"/>
              </w:rPr>
            </w:pPr>
            <w:r>
              <w:rPr>
                <w:color w:val="000000"/>
                <w:sz w:val="22"/>
                <w:szCs w:val="22"/>
              </w:rPr>
              <w:t>***</w:t>
            </w:r>
          </w:p>
        </w:tc>
      </w:tr>
      <w:tr w:rsidR="0073177D" w:rsidRPr="00EE1993" w:rsidTr="00C746ED">
        <w:trPr>
          <w:trHeight w:val="288"/>
        </w:trPr>
        <w:tc>
          <w:tcPr>
            <w:tcW w:w="2621" w:type="dxa"/>
            <w:shd w:val="clear" w:color="auto" w:fill="auto"/>
            <w:noWrap/>
            <w:vAlign w:val="bottom"/>
          </w:tcPr>
          <w:p w:rsidR="0073177D" w:rsidRDefault="0073177D" w:rsidP="0037345D">
            <w:pPr>
              <w:ind w:left="-18"/>
              <w:rPr>
                <w:color w:val="000000"/>
                <w:sz w:val="22"/>
                <w:szCs w:val="22"/>
              </w:rPr>
            </w:pPr>
            <w:proofErr w:type="spellStart"/>
            <w:r>
              <w:rPr>
                <w:color w:val="000000"/>
                <w:sz w:val="22"/>
                <w:szCs w:val="22"/>
              </w:rPr>
              <w:t>Std</w:t>
            </w:r>
            <w:proofErr w:type="spellEnd"/>
            <w:r>
              <w:rPr>
                <w:color w:val="000000"/>
                <w:sz w:val="22"/>
                <w:szCs w:val="22"/>
              </w:rPr>
              <w:t xml:space="preserve"> Error of Elasticity</w:t>
            </w:r>
          </w:p>
        </w:tc>
        <w:tc>
          <w:tcPr>
            <w:tcW w:w="1530" w:type="dxa"/>
            <w:shd w:val="clear" w:color="auto" w:fill="auto"/>
            <w:noWrap/>
            <w:vAlign w:val="bottom"/>
          </w:tcPr>
          <w:p w:rsidR="0073177D" w:rsidRPr="00EE1993" w:rsidRDefault="0073177D">
            <w:pPr>
              <w:jc w:val="right"/>
              <w:rPr>
                <w:color w:val="000000"/>
                <w:sz w:val="22"/>
                <w:szCs w:val="22"/>
              </w:rPr>
            </w:pPr>
            <w:r w:rsidRPr="00EE1993">
              <w:rPr>
                <w:color w:val="000000"/>
                <w:sz w:val="22"/>
                <w:szCs w:val="22"/>
              </w:rPr>
              <w:t>0.194</w:t>
            </w:r>
          </w:p>
        </w:tc>
        <w:tc>
          <w:tcPr>
            <w:tcW w:w="1350" w:type="dxa"/>
            <w:shd w:val="clear" w:color="auto" w:fill="auto"/>
            <w:noWrap/>
            <w:vAlign w:val="bottom"/>
          </w:tcPr>
          <w:p w:rsidR="0073177D" w:rsidRPr="00EE1993" w:rsidRDefault="0073177D" w:rsidP="00224BB9">
            <w:pPr>
              <w:rPr>
                <w:color w:val="000000"/>
                <w:sz w:val="22"/>
                <w:szCs w:val="22"/>
              </w:rPr>
            </w:pPr>
          </w:p>
        </w:tc>
        <w:tc>
          <w:tcPr>
            <w:tcW w:w="1110" w:type="dxa"/>
            <w:shd w:val="clear" w:color="auto" w:fill="auto"/>
            <w:noWrap/>
            <w:vAlign w:val="bottom"/>
          </w:tcPr>
          <w:p w:rsidR="0073177D" w:rsidRPr="00EE1993" w:rsidRDefault="0073177D" w:rsidP="00DB3F20">
            <w:pPr>
              <w:jc w:val="right"/>
              <w:rPr>
                <w:color w:val="000000"/>
                <w:sz w:val="22"/>
                <w:szCs w:val="22"/>
              </w:rPr>
            </w:pPr>
            <w:r>
              <w:rPr>
                <w:color w:val="000000"/>
                <w:sz w:val="22"/>
                <w:szCs w:val="22"/>
              </w:rPr>
              <w:t>0.232</w:t>
            </w:r>
          </w:p>
        </w:tc>
        <w:tc>
          <w:tcPr>
            <w:tcW w:w="780" w:type="dxa"/>
            <w:shd w:val="clear" w:color="auto" w:fill="auto"/>
            <w:noWrap/>
            <w:vAlign w:val="bottom"/>
          </w:tcPr>
          <w:p w:rsidR="0073177D" w:rsidRPr="00EE1993" w:rsidRDefault="0073177D">
            <w:pPr>
              <w:jc w:val="right"/>
              <w:rPr>
                <w:color w:val="000000"/>
                <w:sz w:val="22"/>
                <w:szCs w:val="22"/>
              </w:rPr>
            </w:pPr>
          </w:p>
        </w:tc>
        <w:tc>
          <w:tcPr>
            <w:tcW w:w="1710" w:type="dxa"/>
          </w:tcPr>
          <w:p w:rsidR="0073177D" w:rsidRPr="00EE1993" w:rsidRDefault="00323421" w:rsidP="00323421">
            <w:pPr>
              <w:jc w:val="right"/>
              <w:rPr>
                <w:color w:val="000000"/>
                <w:sz w:val="22"/>
                <w:szCs w:val="22"/>
              </w:rPr>
            </w:pPr>
            <w:r>
              <w:rPr>
                <w:color w:val="000000"/>
                <w:sz w:val="22"/>
                <w:szCs w:val="22"/>
              </w:rPr>
              <w:t>0.195</w:t>
            </w:r>
          </w:p>
        </w:tc>
        <w:tc>
          <w:tcPr>
            <w:tcW w:w="630" w:type="dxa"/>
          </w:tcPr>
          <w:p w:rsidR="0073177D" w:rsidRPr="00EE1993" w:rsidRDefault="0073177D">
            <w:pPr>
              <w:jc w:val="right"/>
              <w:rPr>
                <w:color w:val="000000"/>
                <w:sz w:val="22"/>
                <w:szCs w:val="22"/>
              </w:rPr>
            </w:pPr>
          </w:p>
        </w:tc>
      </w:tr>
      <w:tr w:rsidR="0073177D" w:rsidRPr="00EE1993" w:rsidTr="00C746ED">
        <w:trPr>
          <w:trHeight w:val="288"/>
        </w:trPr>
        <w:tc>
          <w:tcPr>
            <w:tcW w:w="2621" w:type="dxa"/>
            <w:shd w:val="clear" w:color="auto" w:fill="auto"/>
            <w:noWrap/>
            <w:vAlign w:val="bottom"/>
          </w:tcPr>
          <w:p w:rsidR="0073177D" w:rsidRDefault="0073177D" w:rsidP="0037345D">
            <w:pPr>
              <w:ind w:left="-18"/>
              <w:rPr>
                <w:color w:val="000000"/>
                <w:sz w:val="22"/>
                <w:szCs w:val="22"/>
              </w:rPr>
            </w:pPr>
          </w:p>
        </w:tc>
        <w:tc>
          <w:tcPr>
            <w:tcW w:w="1530" w:type="dxa"/>
            <w:shd w:val="clear" w:color="auto" w:fill="auto"/>
            <w:noWrap/>
            <w:vAlign w:val="bottom"/>
          </w:tcPr>
          <w:p w:rsidR="0073177D" w:rsidRPr="00EE1993" w:rsidRDefault="0073177D">
            <w:pPr>
              <w:jc w:val="right"/>
              <w:rPr>
                <w:color w:val="000000"/>
                <w:sz w:val="22"/>
                <w:szCs w:val="22"/>
              </w:rPr>
            </w:pPr>
          </w:p>
        </w:tc>
        <w:tc>
          <w:tcPr>
            <w:tcW w:w="1350" w:type="dxa"/>
            <w:shd w:val="clear" w:color="auto" w:fill="auto"/>
            <w:noWrap/>
            <w:vAlign w:val="bottom"/>
          </w:tcPr>
          <w:p w:rsidR="0073177D" w:rsidRPr="00EE1993" w:rsidRDefault="0073177D">
            <w:pPr>
              <w:jc w:val="right"/>
              <w:rPr>
                <w:color w:val="000000"/>
                <w:sz w:val="22"/>
                <w:szCs w:val="22"/>
              </w:rPr>
            </w:pPr>
          </w:p>
        </w:tc>
        <w:tc>
          <w:tcPr>
            <w:tcW w:w="1110" w:type="dxa"/>
            <w:shd w:val="clear" w:color="auto" w:fill="auto"/>
            <w:noWrap/>
            <w:vAlign w:val="bottom"/>
          </w:tcPr>
          <w:p w:rsidR="0073177D" w:rsidRPr="00EE1993" w:rsidRDefault="0073177D">
            <w:pPr>
              <w:jc w:val="right"/>
              <w:rPr>
                <w:color w:val="000000"/>
                <w:sz w:val="22"/>
                <w:szCs w:val="22"/>
              </w:rPr>
            </w:pPr>
          </w:p>
        </w:tc>
        <w:tc>
          <w:tcPr>
            <w:tcW w:w="780" w:type="dxa"/>
            <w:shd w:val="clear" w:color="auto" w:fill="auto"/>
            <w:noWrap/>
            <w:vAlign w:val="bottom"/>
          </w:tcPr>
          <w:p w:rsidR="0073177D" w:rsidRPr="00EE1993" w:rsidRDefault="0073177D">
            <w:pPr>
              <w:jc w:val="right"/>
              <w:rPr>
                <w:color w:val="000000"/>
                <w:sz w:val="22"/>
                <w:szCs w:val="22"/>
              </w:rPr>
            </w:pPr>
          </w:p>
        </w:tc>
        <w:tc>
          <w:tcPr>
            <w:tcW w:w="1710" w:type="dxa"/>
          </w:tcPr>
          <w:p w:rsidR="0073177D" w:rsidRPr="00EE1993" w:rsidRDefault="0073177D" w:rsidP="00323421">
            <w:pPr>
              <w:jc w:val="right"/>
              <w:rPr>
                <w:color w:val="000000"/>
                <w:sz w:val="22"/>
                <w:szCs w:val="22"/>
              </w:rPr>
            </w:pPr>
          </w:p>
        </w:tc>
        <w:tc>
          <w:tcPr>
            <w:tcW w:w="630" w:type="dxa"/>
          </w:tcPr>
          <w:p w:rsidR="0073177D" w:rsidRPr="00EE1993" w:rsidRDefault="0073177D">
            <w:pPr>
              <w:jc w:val="right"/>
              <w:rPr>
                <w:color w:val="000000"/>
                <w:sz w:val="22"/>
                <w:szCs w:val="22"/>
              </w:rPr>
            </w:pPr>
          </w:p>
        </w:tc>
      </w:tr>
      <w:tr w:rsidR="0073177D" w:rsidRPr="00EE1993" w:rsidTr="00C746ED">
        <w:trPr>
          <w:trHeight w:val="288"/>
        </w:trPr>
        <w:tc>
          <w:tcPr>
            <w:tcW w:w="2621" w:type="dxa"/>
            <w:shd w:val="clear" w:color="auto" w:fill="auto"/>
            <w:noWrap/>
            <w:vAlign w:val="bottom"/>
          </w:tcPr>
          <w:p w:rsidR="0073177D" w:rsidRDefault="0073177D" w:rsidP="0037345D">
            <w:pPr>
              <w:ind w:left="-18"/>
              <w:rPr>
                <w:color w:val="000000"/>
                <w:sz w:val="22"/>
                <w:szCs w:val="22"/>
              </w:rPr>
            </w:pPr>
            <w:r>
              <w:rPr>
                <w:color w:val="000000"/>
                <w:sz w:val="22"/>
                <w:szCs w:val="22"/>
              </w:rPr>
              <w:t>Hansen J statistic (</w:t>
            </w:r>
            <w:proofErr w:type="spellStart"/>
            <w:r>
              <w:rPr>
                <w:color w:val="000000"/>
                <w:sz w:val="22"/>
                <w:szCs w:val="22"/>
              </w:rPr>
              <w:t>overidentification</w:t>
            </w:r>
            <w:proofErr w:type="spellEnd"/>
            <w:r>
              <w:rPr>
                <w:color w:val="000000"/>
                <w:sz w:val="22"/>
                <w:szCs w:val="22"/>
              </w:rPr>
              <w:t xml:space="preserve"> test of all instruments):</w:t>
            </w:r>
          </w:p>
        </w:tc>
        <w:tc>
          <w:tcPr>
            <w:tcW w:w="1530" w:type="dxa"/>
            <w:shd w:val="clear" w:color="auto" w:fill="auto"/>
            <w:noWrap/>
            <w:vAlign w:val="bottom"/>
          </w:tcPr>
          <w:p w:rsidR="0073177D" w:rsidRPr="00EE1993" w:rsidRDefault="0073177D" w:rsidP="005B3892">
            <w:pPr>
              <w:jc w:val="right"/>
              <w:rPr>
                <w:color w:val="000000"/>
                <w:sz w:val="22"/>
                <w:szCs w:val="22"/>
              </w:rPr>
            </w:pPr>
            <w:r w:rsidRPr="00EE1993">
              <w:rPr>
                <w:color w:val="000000"/>
                <w:sz w:val="22"/>
                <w:szCs w:val="22"/>
              </w:rPr>
              <w:t>0.</w:t>
            </w:r>
            <w:r>
              <w:rPr>
                <w:color w:val="000000"/>
                <w:sz w:val="22"/>
                <w:szCs w:val="22"/>
              </w:rPr>
              <w:t>290</w:t>
            </w:r>
          </w:p>
        </w:tc>
        <w:tc>
          <w:tcPr>
            <w:tcW w:w="1350" w:type="dxa"/>
            <w:shd w:val="clear" w:color="auto" w:fill="auto"/>
            <w:noWrap/>
            <w:vAlign w:val="bottom"/>
          </w:tcPr>
          <w:p w:rsidR="0073177D" w:rsidRPr="00EE1993" w:rsidRDefault="0073177D">
            <w:pPr>
              <w:jc w:val="right"/>
              <w:rPr>
                <w:color w:val="000000"/>
                <w:sz w:val="22"/>
                <w:szCs w:val="22"/>
              </w:rPr>
            </w:pPr>
          </w:p>
        </w:tc>
        <w:tc>
          <w:tcPr>
            <w:tcW w:w="1110" w:type="dxa"/>
            <w:shd w:val="clear" w:color="auto" w:fill="auto"/>
            <w:noWrap/>
            <w:vAlign w:val="bottom"/>
          </w:tcPr>
          <w:p w:rsidR="0073177D" w:rsidRPr="00EE1993" w:rsidRDefault="0073177D" w:rsidP="0021475B">
            <w:pPr>
              <w:jc w:val="right"/>
              <w:rPr>
                <w:color w:val="000000"/>
                <w:sz w:val="22"/>
                <w:szCs w:val="22"/>
              </w:rPr>
            </w:pPr>
            <w:r>
              <w:rPr>
                <w:color w:val="000000"/>
                <w:sz w:val="22"/>
                <w:szCs w:val="22"/>
              </w:rPr>
              <w:t>1.788</w:t>
            </w:r>
          </w:p>
        </w:tc>
        <w:tc>
          <w:tcPr>
            <w:tcW w:w="780" w:type="dxa"/>
            <w:shd w:val="clear" w:color="auto" w:fill="auto"/>
            <w:noWrap/>
            <w:vAlign w:val="bottom"/>
          </w:tcPr>
          <w:p w:rsidR="0073177D" w:rsidRPr="00EE1993" w:rsidRDefault="0073177D">
            <w:pPr>
              <w:jc w:val="right"/>
              <w:rPr>
                <w:color w:val="000000"/>
                <w:sz w:val="22"/>
                <w:szCs w:val="22"/>
              </w:rPr>
            </w:pPr>
          </w:p>
        </w:tc>
        <w:tc>
          <w:tcPr>
            <w:tcW w:w="1710" w:type="dxa"/>
            <w:vAlign w:val="bottom"/>
          </w:tcPr>
          <w:p w:rsidR="0073177D" w:rsidRPr="00EE1993" w:rsidRDefault="00323421" w:rsidP="00C746ED">
            <w:pPr>
              <w:jc w:val="right"/>
              <w:rPr>
                <w:color w:val="000000"/>
                <w:sz w:val="22"/>
                <w:szCs w:val="22"/>
              </w:rPr>
            </w:pPr>
            <w:r>
              <w:rPr>
                <w:color w:val="000000"/>
                <w:sz w:val="22"/>
                <w:szCs w:val="22"/>
              </w:rPr>
              <w:t>5.886</w:t>
            </w:r>
          </w:p>
        </w:tc>
        <w:tc>
          <w:tcPr>
            <w:tcW w:w="630" w:type="dxa"/>
          </w:tcPr>
          <w:p w:rsidR="0073177D" w:rsidRPr="00EE1993" w:rsidRDefault="0073177D">
            <w:pPr>
              <w:jc w:val="right"/>
              <w:rPr>
                <w:color w:val="000000"/>
                <w:sz w:val="22"/>
                <w:szCs w:val="22"/>
              </w:rPr>
            </w:pPr>
          </w:p>
        </w:tc>
      </w:tr>
      <w:tr w:rsidR="0073177D" w:rsidRPr="00EE1993" w:rsidTr="00C746ED">
        <w:trPr>
          <w:trHeight w:val="288"/>
        </w:trPr>
        <w:tc>
          <w:tcPr>
            <w:tcW w:w="2621" w:type="dxa"/>
            <w:shd w:val="clear" w:color="auto" w:fill="auto"/>
            <w:noWrap/>
            <w:vAlign w:val="bottom"/>
          </w:tcPr>
          <w:p w:rsidR="0073177D" w:rsidRDefault="0073177D" w:rsidP="0037345D">
            <w:pPr>
              <w:ind w:left="-18"/>
              <w:rPr>
                <w:color w:val="000000"/>
                <w:sz w:val="22"/>
                <w:szCs w:val="22"/>
              </w:rPr>
            </w:pPr>
          </w:p>
        </w:tc>
        <w:tc>
          <w:tcPr>
            <w:tcW w:w="1530" w:type="dxa"/>
            <w:shd w:val="clear" w:color="auto" w:fill="auto"/>
            <w:noWrap/>
            <w:vAlign w:val="bottom"/>
          </w:tcPr>
          <w:p w:rsidR="0073177D" w:rsidRPr="00EE1993" w:rsidRDefault="0073177D">
            <w:pPr>
              <w:jc w:val="right"/>
              <w:rPr>
                <w:color w:val="000000"/>
                <w:sz w:val="22"/>
                <w:szCs w:val="22"/>
              </w:rPr>
            </w:pPr>
          </w:p>
        </w:tc>
        <w:tc>
          <w:tcPr>
            <w:tcW w:w="1350" w:type="dxa"/>
            <w:shd w:val="clear" w:color="auto" w:fill="auto"/>
            <w:noWrap/>
            <w:vAlign w:val="bottom"/>
          </w:tcPr>
          <w:p w:rsidR="0073177D" w:rsidRPr="00EE1993" w:rsidRDefault="0073177D">
            <w:pPr>
              <w:jc w:val="right"/>
              <w:rPr>
                <w:color w:val="000000"/>
                <w:sz w:val="22"/>
                <w:szCs w:val="22"/>
              </w:rPr>
            </w:pPr>
          </w:p>
        </w:tc>
        <w:tc>
          <w:tcPr>
            <w:tcW w:w="1110" w:type="dxa"/>
            <w:shd w:val="clear" w:color="auto" w:fill="auto"/>
            <w:noWrap/>
            <w:vAlign w:val="bottom"/>
          </w:tcPr>
          <w:p w:rsidR="0073177D" w:rsidRPr="00EE1993" w:rsidRDefault="0073177D">
            <w:pPr>
              <w:jc w:val="right"/>
              <w:rPr>
                <w:color w:val="000000"/>
                <w:sz w:val="22"/>
                <w:szCs w:val="22"/>
              </w:rPr>
            </w:pPr>
          </w:p>
        </w:tc>
        <w:tc>
          <w:tcPr>
            <w:tcW w:w="780" w:type="dxa"/>
            <w:shd w:val="clear" w:color="auto" w:fill="auto"/>
            <w:noWrap/>
            <w:vAlign w:val="bottom"/>
          </w:tcPr>
          <w:p w:rsidR="0073177D" w:rsidRPr="00EE1993" w:rsidRDefault="0073177D">
            <w:pPr>
              <w:jc w:val="right"/>
              <w:rPr>
                <w:color w:val="000000"/>
                <w:sz w:val="22"/>
                <w:szCs w:val="22"/>
              </w:rPr>
            </w:pPr>
          </w:p>
        </w:tc>
        <w:tc>
          <w:tcPr>
            <w:tcW w:w="1710" w:type="dxa"/>
          </w:tcPr>
          <w:p w:rsidR="0073177D" w:rsidRPr="00EE1993" w:rsidRDefault="0073177D" w:rsidP="00323421">
            <w:pPr>
              <w:jc w:val="right"/>
              <w:rPr>
                <w:color w:val="000000"/>
                <w:sz w:val="22"/>
                <w:szCs w:val="22"/>
              </w:rPr>
            </w:pPr>
          </w:p>
        </w:tc>
        <w:tc>
          <w:tcPr>
            <w:tcW w:w="630" w:type="dxa"/>
          </w:tcPr>
          <w:p w:rsidR="0073177D" w:rsidRPr="00EE1993" w:rsidRDefault="0073177D">
            <w:pPr>
              <w:jc w:val="right"/>
              <w:rPr>
                <w:color w:val="000000"/>
                <w:sz w:val="22"/>
                <w:szCs w:val="22"/>
              </w:rPr>
            </w:pPr>
          </w:p>
        </w:tc>
      </w:tr>
      <w:tr w:rsidR="0073177D" w:rsidRPr="00EE1993" w:rsidTr="00C746ED">
        <w:trPr>
          <w:trHeight w:val="288"/>
        </w:trPr>
        <w:tc>
          <w:tcPr>
            <w:tcW w:w="2621" w:type="dxa"/>
            <w:shd w:val="clear" w:color="auto" w:fill="auto"/>
            <w:noWrap/>
            <w:vAlign w:val="bottom"/>
          </w:tcPr>
          <w:p w:rsidR="0073177D" w:rsidRDefault="0073177D" w:rsidP="0037345D">
            <w:pPr>
              <w:ind w:left="-18"/>
              <w:rPr>
                <w:color w:val="000000"/>
                <w:sz w:val="22"/>
                <w:szCs w:val="22"/>
              </w:rPr>
            </w:pPr>
            <w:r>
              <w:rPr>
                <w:color w:val="000000"/>
                <w:sz w:val="22"/>
                <w:szCs w:val="22"/>
              </w:rPr>
              <w:t>Number of Observations</w:t>
            </w:r>
          </w:p>
        </w:tc>
        <w:tc>
          <w:tcPr>
            <w:tcW w:w="1530" w:type="dxa"/>
            <w:shd w:val="clear" w:color="auto" w:fill="auto"/>
            <w:noWrap/>
            <w:vAlign w:val="bottom"/>
          </w:tcPr>
          <w:p w:rsidR="0073177D" w:rsidRPr="00EE1993" w:rsidRDefault="0073177D">
            <w:pPr>
              <w:jc w:val="right"/>
              <w:rPr>
                <w:color w:val="000000"/>
                <w:sz w:val="22"/>
                <w:szCs w:val="22"/>
              </w:rPr>
            </w:pPr>
            <w:r w:rsidRPr="00EE1993">
              <w:rPr>
                <w:color w:val="000000"/>
                <w:sz w:val="22"/>
                <w:szCs w:val="22"/>
              </w:rPr>
              <w:t>755</w:t>
            </w:r>
          </w:p>
        </w:tc>
        <w:tc>
          <w:tcPr>
            <w:tcW w:w="1350" w:type="dxa"/>
            <w:shd w:val="clear" w:color="auto" w:fill="auto"/>
            <w:noWrap/>
            <w:vAlign w:val="bottom"/>
          </w:tcPr>
          <w:p w:rsidR="0073177D" w:rsidRPr="00EE1993" w:rsidRDefault="0073177D">
            <w:pPr>
              <w:jc w:val="right"/>
              <w:rPr>
                <w:color w:val="000000"/>
                <w:sz w:val="22"/>
                <w:szCs w:val="22"/>
              </w:rPr>
            </w:pPr>
          </w:p>
        </w:tc>
        <w:tc>
          <w:tcPr>
            <w:tcW w:w="1110" w:type="dxa"/>
            <w:shd w:val="clear" w:color="auto" w:fill="auto"/>
            <w:noWrap/>
            <w:vAlign w:val="bottom"/>
          </w:tcPr>
          <w:p w:rsidR="0073177D" w:rsidRPr="00EE1993" w:rsidRDefault="0073177D">
            <w:pPr>
              <w:jc w:val="right"/>
              <w:rPr>
                <w:color w:val="000000"/>
                <w:sz w:val="22"/>
                <w:szCs w:val="22"/>
              </w:rPr>
            </w:pPr>
            <w:r>
              <w:rPr>
                <w:color w:val="000000"/>
                <w:sz w:val="22"/>
                <w:szCs w:val="22"/>
              </w:rPr>
              <w:t>755</w:t>
            </w:r>
          </w:p>
        </w:tc>
        <w:tc>
          <w:tcPr>
            <w:tcW w:w="780" w:type="dxa"/>
            <w:shd w:val="clear" w:color="auto" w:fill="auto"/>
            <w:noWrap/>
            <w:vAlign w:val="bottom"/>
          </w:tcPr>
          <w:p w:rsidR="0073177D" w:rsidRPr="00EE1993" w:rsidRDefault="0073177D">
            <w:pPr>
              <w:jc w:val="right"/>
              <w:rPr>
                <w:color w:val="000000"/>
                <w:sz w:val="22"/>
                <w:szCs w:val="22"/>
              </w:rPr>
            </w:pPr>
          </w:p>
        </w:tc>
        <w:tc>
          <w:tcPr>
            <w:tcW w:w="1710" w:type="dxa"/>
          </w:tcPr>
          <w:p w:rsidR="0073177D" w:rsidRPr="00EE1993" w:rsidRDefault="00323421" w:rsidP="00323421">
            <w:pPr>
              <w:jc w:val="right"/>
              <w:rPr>
                <w:color w:val="000000"/>
                <w:sz w:val="22"/>
                <w:szCs w:val="22"/>
              </w:rPr>
            </w:pPr>
            <w:r>
              <w:rPr>
                <w:color w:val="000000"/>
                <w:sz w:val="22"/>
                <w:szCs w:val="22"/>
              </w:rPr>
              <w:t>690</w:t>
            </w:r>
          </w:p>
        </w:tc>
        <w:tc>
          <w:tcPr>
            <w:tcW w:w="630" w:type="dxa"/>
          </w:tcPr>
          <w:p w:rsidR="0073177D" w:rsidRPr="00EE1993" w:rsidRDefault="0073177D">
            <w:pPr>
              <w:jc w:val="right"/>
              <w:rPr>
                <w:color w:val="000000"/>
                <w:sz w:val="22"/>
                <w:szCs w:val="22"/>
              </w:rPr>
            </w:pPr>
          </w:p>
        </w:tc>
      </w:tr>
      <w:tr w:rsidR="0073177D" w:rsidRPr="00EE1993" w:rsidTr="00C746ED">
        <w:trPr>
          <w:trHeight w:val="288"/>
        </w:trPr>
        <w:tc>
          <w:tcPr>
            <w:tcW w:w="2621" w:type="dxa"/>
            <w:tcBorders>
              <w:bottom w:val="single" w:sz="4" w:space="0" w:color="auto"/>
            </w:tcBorders>
            <w:shd w:val="clear" w:color="auto" w:fill="auto"/>
            <w:noWrap/>
            <w:vAlign w:val="bottom"/>
          </w:tcPr>
          <w:p w:rsidR="0073177D" w:rsidRDefault="0073177D" w:rsidP="0037345D">
            <w:pPr>
              <w:ind w:left="-18"/>
              <w:rPr>
                <w:color w:val="000000"/>
                <w:sz w:val="22"/>
                <w:szCs w:val="22"/>
              </w:rPr>
            </w:pPr>
            <w:r>
              <w:rPr>
                <w:color w:val="000000"/>
                <w:sz w:val="22"/>
                <w:szCs w:val="22"/>
              </w:rPr>
              <w:t>R</w:t>
            </w:r>
            <w:r>
              <w:rPr>
                <w:color w:val="000000"/>
                <w:sz w:val="22"/>
                <w:szCs w:val="22"/>
                <w:vertAlign w:val="superscript"/>
              </w:rPr>
              <w:t>2</w:t>
            </w:r>
          </w:p>
        </w:tc>
        <w:tc>
          <w:tcPr>
            <w:tcW w:w="1530" w:type="dxa"/>
            <w:tcBorders>
              <w:bottom w:val="single" w:sz="4" w:space="0" w:color="auto"/>
            </w:tcBorders>
            <w:shd w:val="clear" w:color="auto" w:fill="auto"/>
            <w:noWrap/>
            <w:vAlign w:val="bottom"/>
          </w:tcPr>
          <w:p w:rsidR="0073177D" w:rsidRPr="00EE1993" w:rsidRDefault="0073177D" w:rsidP="005B3892">
            <w:pPr>
              <w:jc w:val="right"/>
              <w:rPr>
                <w:color w:val="000000"/>
                <w:sz w:val="22"/>
                <w:szCs w:val="22"/>
              </w:rPr>
            </w:pPr>
            <w:r w:rsidRPr="00EE1993">
              <w:rPr>
                <w:color w:val="000000"/>
                <w:sz w:val="22"/>
                <w:szCs w:val="22"/>
              </w:rPr>
              <w:t>0.41</w:t>
            </w:r>
            <w:r>
              <w:rPr>
                <w:color w:val="000000"/>
                <w:sz w:val="22"/>
                <w:szCs w:val="22"/>
              </w:rPr>
              <w:t>5</w:t>
            </w:r>
          </w:p>
        </w:tc>
        <w:tc>
          <w:tcPr>
            <w:tcW w:w="1350" w:type="dxa"/>
            <w:tcBorders>
              <w:bottom w:val="single" w:sz="4" w:space="0" w:color="auto"/>
            </w:tcBorders>
            <w:shd w:val="clear" w:color="auto" w:fill="auto"/>
            <w:noWrap/>
            <w:vAlign w:val="bottom"/>
          </w:tcPr>
          <w:p w:rsidR="0073177D" w:rsidRPr="00EE1993" w:rsidRDefault="0073177D">
            <w:pPr>
              <w:jc w:val="right"/>
              <w:rPr>
                <w:color w:val="000000"/>
                <w:sz w:val="22"/>
                <w:szCs w:val="22"/>
              </w:rPr>
            </w:pPr>
          </w:p>
        </w:tc>
        <w:tc>
          <w:tcPr>
            <w:tcW w:w="1110" w:type="dxa"/>
            <w:tcBorders>
              <w:bottom w:val="single" w:sz="4" w:space="0" w:color="auto"/>
            </w:tcBorders>
            <w:shd w:val="clear" w:color="auto" w:fill="auto"/>
            <w:noWrap/>
            <w:vAlign w:val="bottom"/>
          </w:tcPr>
          <w:p w:rsidR="0073177D" w:rsidRPr="00EE1993" w:rsidRDefault="0073177D" w:rsidP="0021475B">
            <w:pPr>
              <w:jc w:val="right"/>
              <w:rPr>
                <w:color w:val="000000"/>
                <w:sz w:val="22"/>
                <w:szCs w:val="22"/>
              </w:rPr>
            </w:pPr>
            <w:r>
              <w:rPr>
                <w:color w:val="000000"/>
                <w:sz w:val="22"/>
                <w:szCs w:val="22"/>
              </w:rPr>
              <w:t>0.603</w:t>
            </w:r>
          </w:p>
        </w:tc>
        <w:tc>
          <w:tcPr>
            <w:tcW w:w="780" w:type="dxa"/>
            <w:tcBorders>
              <w:bottom w:val="single" w:sz="4" w:space="0" w:color="auto"/>
            </w:tcBorders>
            <w:shd w:val="clear" w:color="auto" w:fill="auto"/>
            <w:noWrap/>
            <w:vAlign w:val="bottom"/>
          </w:tcPr>
          <w:p w:rsidR="0073177D" w:rsidRPr="00EE1993" w:rsidRDefault="0073177D">
            <w:pPr>
              <w:jc w:val="right"/>
              <w:rPr>
                <w:color w:val="000000"/>
                <w:sz w:val="22"/>
                <w:szCs w:val="22"/>
              </w:rPr>
            </w:pPr>
          </w:p>
        </w:tc>
        <w:tc>
          <w:tcPr>
            <w:tcW w:w="1710" w:type="dxa"/>
            <w:tcBorders>
              <w:bottom w:val="single" w:sz="4" w:space="0" w:color="auto"/>
            </w:tcBorders>
          </w:tcPr>
          <w:p w:rsidR="0073177D" w:rsidRPr="00EE1993" w:rsidRDefault="00323421" w:rsidP="00323421">
            <w:pPr>
              <w:jc w:val="right"/>
              <w:rPr>
                <w:color w:val="000000"/>
                <w:sz w:val="22"/>
                <w:szCs w:val="22"/>
              </w:rPr>
            </w:pPr>
            <w:r>
              <w:rPr>
                <w:color w:val="000000"/>
                <w:sz w:val="22"/>
                <w:szCs w:val="22"/>
              </w:rPr>
              <w:t>0.424</w:t>
            </w:r>
          </w:p>
        </w:tc>
        <w:tc>
          <w:tcPr>
            <w:tcW w:w="630" w:type="dxa"/>
            <w:tcBorders>
              <w:bottom w:val="single" w:sz="4" w:space="0" w:color="auto"/>
            </w:tcBorders>
          </w:tcPr>
          <w:p w:rsidR="0073177D" w:rsidRPr="00EE1993" w:rsidRDefault="0073177D">
            <w:pPr>
              <w:jc w:val="right"/>
              <w:rPr>
                <w:color w:val="000000"/>
                <w:sz w:val="22"/>
                <w:szCs w:val="22"/>
              </w:rPr>
            </w:pPr>
          </w:p>
        </w:tc>
      </w:tr>
      <w:tr w:rsidR="0073177D" w:rsidTr="00C746ED">
        <w:trPr>
          <w:trHeight w:val="288"/>
        </w:trPr>
        <w:tc>
          <w:tcPr>
            <w:tcW w:w="9731" w:type="dxa"/>
            <w:gridSpan w:val="7"/>
            <w:tcBorders>
              <w:top w:val="single" w:sz="4" w:space="0" w:color="auto"/>
            </w:tcBorders>
            <w:shd w:val="clear" w:color="auto" w:fill="auto"/>
            <w:noWrap/>
            <w:vAlign w:val="bottom"/>
          </w:tcPr>
          <w:p w:rsidR="0073177D" w:rsidRDefault="0073177D" w:rsidP="005B3892">
            <w:pPr>
              <w:rPr>
                <w:color w:val="000000"/>
                <w:sz w:val="22"/>
                <w:szCs w:val="22"/>
              </w:rPr>
            </w:pPr>
            <w:r w:rsidRPr="00171879">
              <w:rPr>
                <w:color w:val="000000"/>
                <w:sz w:val="22"/>
                <w:szCs w:val="22"/>
              </w:rPr>
              <w:t xml:space="preserve">Note:  </w:t>
            </w:r>
            <w:r w:rsidR="00C746ED">
              <w:rPr>
                <w:color w:val="000000"/>
                <w:sz w:val="22"/>
                <w:szCs w:val="22"/>
              </w:rPr>
              <w:t>R</w:t>
            </w:r>
            <w:r w:rsidR="00C746ED" w:rsidRPr="00171879">
              <w:rPr>
                <w:color w:val="000000"/>
                <w:sz w:val="22"/>
                <w:szCs w:val="22"/>
              </w:rPr>
              <w:t xml:space="preserve">obust </w:t>
            </w:r>
            <w:r w:rsidR="00C746ED">
              <w:rPr>
                <w:color w:val="000000"/>
                <w:sz w:val="22"/>
                <w:szCs w:val="22"/>
              </w:rPr>
              <w:t>s</w:t>
            </w:r>
            <w:r w:rsidRPr="00171879">
              <w:rPr>
                <w:color w:val="000000"/>
                <w:sz w:val="22"/>
                <w:szCs w:val="22"/>
              </w:rPr>
              <w:t>tandard errors in parenthes</w:t>
            </w:r>
            <w:r>
              <w:rPr>
                <w:color w:val="000000"/>
                <w:sz w:val="22"/>
                <w:szCs w:val="22"/>
              </w:rPr>
              <w:t>e</w:t>
            </w:r>
            <w:r w:rsidR="00C746ED">
              <w:rPr>
                <w:color w:val="000000"/>
                <w:sz w:val="22"/>
                <w:szCs w:val="22"/>
              </w:rPr>
              <w:t>s</w:t>
            </w:r>
            <w:r>
              <w:rPr>
                <w:color w:val="000000"/>
                <w:sz w:val="22"/>
                <w:szCs w:val="22"/>
              </w:rPr>
              <w:t>.</w:t>
            </w:r>
          </w:p>
          <w:p w:rsidR="0073177D" w:rsidRDefault="0073177D" w:rsidP="005B3892">
            <w:pPr>
              <w:rPr>
                <w:color w:val="000000"/>
                <w:sz w:val="22"/>
                <w:szCs w:val="22"/>
              </w:rPr>
            </w:pPr>
            <w:r w:rsidRPr="00C746ED">
              <w:rPr>
                <w:i/>
                <w:color w:val="000000"/>
                <w:sz w:val="22"/>
                <w:szCs w:val="22"/>
              </w:rPr>
              <w:t>a</w:t>
            </w:r>
            <w:r>
              <w:rPr>
                <w:color w:val="000000"/>
                <w:sz w:val="22"/>
                <w:szCs w:val="22"/>
              </w:rPr>
              <w:t>. Excludes five states with the smallest PC insurance industry employment</w:t>
            </w:r>
          </w:p>
          <w:p w:rsidR="0073177D" w:rsidRPr="00171879" w:rsidRDefault="0073177D" w:rsidP="005B3892">
            <w:pPr>
              <w:rPr>
                <w:color w:val="000000"/>
                <w:sz w:val="22"/>
                <w:szCs w:val="22"/>
              </w:rPr>
            </w:pPr>
            <w:r>
              <w:rPr>
                <w:color w:val="000000"/>
                <w:sz w:val="22"/>
                <w:szCs w:val="22"/>
              </w:rPr>
              <w:t>* significance at the .10 level; ** significance at the .05 level; ***significance at the .01 level</w:t>
            </w:r>
          </w:p>
        </w:tc>
      </w:tr>
    </w:tbl>
    <w:p w:rsidR="00E70986" w:rsidRDefault="00040170">
      <w:pPr>
        <w:sectPr w:rsidR="00E70986" w:rsidSect="00FA418C">
          <w:pgSz w:w="12240" w:h="15840"/>
          <w:pgMar w:top="1440" w:right="0" w:bottom="990" w:left="1440" w:header="720" w:footer="720" w:gutter="0"/>
          <w:cols w:space="720"/>
          <w:docGrid w:linePitch="360"/>
        </w:sectPr>
      </w:pPr>
      <w:r>
        <w:br w:type="page"/>
      </w:r>
    </w:p>
    <w:p w:rsidR="00040170" w:rsidRDefault="00040170"/>
    <w:p w:rsidR="0037345D" w:rsidRDefault="0037345D"/>
    <w:p w:rsidR="0037345D" w:rsidRDefault="0037345D"/>
    <w:tbl>
      <w:tblPr>
        <w:tblW w:w="12385" w:type="dxa"/>
        <w:tblInd w:w="93" w:type="dxa"/>
        <w:tblCellMar>
          <w:left w:w="14" w:type="dxa"/>
          <w:right w:w="14" w:type="dxa"/>
        </w:tblCellMar>
        <w:tblLook w:val="04A0" w:firstRow="1" w:lastRow="0" w:firstColumn="1" w:lastColumn="0" w:noHBand="0" w:noVBand="1"/>
      </w:tblPr>
      <w:tblGrid>
        <w:gridCol w:w="3251"/>
        <w:gridCol w:w="986"/>
        <w:gridCol w:w="397"/>
        <w:gridCol w:w="1080"/>
        <w:gridCol w:w="546"/>
        <w:gridCol w:w="1127"/>
        <w:gridCol w:w="634"/>
        <w:gridCol w:w="984"/>
        <w:gridCol w:w="498"/>
        <w:gridCol w:w="984"/>
        <w:gridCol w:w="368"/>
        <w:gridCol w:w="130"/>
        <w:gridCol w:w="854"/>
        <w:gridCol w:w="498"/>
        <w:gridCol w:w="48"/>
      </w:tblGrid>
      <w:tr w:rsidR="00327E5E" w:rsidTr="002D3324">
        <w:trPr>
          <w:gridAfter w:val="1"/>
          <w:wAfter w:w="48" w:type="dxa"/>
          <w:trHeight w:val="512"/>
        </w:trPr>
        <w:tc>
          <w:tcPr>
            <w:tcW w:w="12337" w:type="dxa"/>
            <w:gridSpan w:val="14"/>
            <w:tcBorders>
              <w:top w:val="single" w:sz="4" w:space="0" w:color="auto"/>
              <w:left w:val="nil"/>
              <w:right w:val="nil"/>
            </w:tcBorders>
            <w:shd w:val="clear" w:color="auto" w:fill="auto"/>
            <w:noWrap/>
            <w:vAlign w:val="bottom"/>
            <w:hideMark/>
          </w:tcPr>
          <w:p w:rsidR="00BC4246" w:rsidRDefault="00327E5E" w:rsidP="00BC4246">
            <w:pPr>
              <w:rPr>
                <w:b/>
                <w:bCs/>
                <w:color w:val="000000"/>
                <w:sz w:val="22"/>
                <w:szCs w:val="22"/>
              </w:rPr>
            </w:pPr>
            <w:r>
              <w:rPr>
                <w:b/>
                <w:bCs/>
                <w:color w:val="000000"/>
                <w:sz w:val="22"/>
                <w:szCs w:val="22"/>
              </w:rPr>
              <w:t>Table 5. 2SLS Panel Instrumental Variables Estimates</w:t>
            </w:r>
            <w:r w:rsidR="00D567E8">
              <w:rPr>
                <w:b/>
                <w:bCs/>
                <w:color w:val="000000"/>
                <w:sz w:val="22"/>
                <w:szCs w:val="22"/>
              </w:rPr>
              <w:t xml:space="preserve"> with Year Fixed Effects</w:t>
            </w:r>
            <w:r>
              <w:rPr>
                <w:b/>
                <w:bCs/>
                <w:color w:val="000000"/>
                <w:sz w:val="22"/>
                <w:szCs w:val="22"/>
              </w:rPr>
              <w:t xml:space="preserve">  </w:t>
            </w:r>
          </w:p>
          <w:p w:rsidR="00327E5E" w:rsidRDefault="00327E5E" w:rsidP="00BC4246">
            <w:pPr>
              <w:rPr>
                <w:b/>
                <w:bCs/>
                <w:color w:val="000000"/>
                <w:sz w:val="22"/>
                <w:szCs w:val="22"/>
              </w:rPr>
            </w:pPr>
            <w:r>
              <w:rPr>
                <w:b/>
                <w:bCs/>
                <w:color w:val="000000"/>
                <w:sz w:val="22"/>
                <w:szCs w:val="22"/>
              </w:rPr>
              <w:t>Dependent Variable</w:t>
            </w:r>
            <w:r w:rsidR="00BC4246">
              <w:rPr>
                <w:b/>
                <w:bCs/>
                <w:color w:val="000000"/>
                <w:sz w:val="22"/>
                <w:szCs w:val="22"/>
              </w:rPr>
              <w:t>:</w:t>
            </w:r>
            <w:r>
              <w:rPr>
                <w:b/>
                <w:bCs/>
                <w:color w:val="000000"/>
                <w:sz w:val="22"/>
                <w:szCs w:val="22"/>
              </w:rPr>
              <w:t xml:space="preserve"> Other  Measures</w:t>
            </w:r>
            <w:r w:rsidR="00BC4246">
              <w:rPr>
                <w:b/>
                <w:bCs/>
                <w:color w:val="000000"/>
                <w:sz w:val="22"/>
                <w:szCs w:val="22"/>
              </w:rPr>
              <w:t xml:space="preserve"> of Industry Size</w:t>
            </w:r>
          </w:p>
        </w:tc>
      </w:tr>
      <w:tr w:rsidR="00226F30" w:rsidTr="002D3324">
        <w:trPr>
          <w:gridAfter w:val="1"/>
          <w:wAfter w:w="48" w:type="dxa"/>
          <w:trHeight w:val="900"/>
        </w:trPr>
        <w:tc>
          <w:tcPr>
            <w:tcW w:w="3251" w:type="dxa"/>
            <w:tcBorders>
              <w:left w:val="nil"/>
              <w:bottom w:val="single" w:sz="4" w:space="0" w:color="auto"/>
              <w:right w:val="nil"/>
            </w:tcBorders>
            <w:shd w:val="clear" w:color="auto" w:fill="auto"/>
            <w:noWrap/>
            <w:vAlign w:val="bottom"/>
            <w:hideMark/>
          </w:tcPr>
          <w:p w:rsidR="00226F30" w:rsidRDefault="00226F30">
            <w:pPr>
              <w:rPr>
                <w:color w:val="000000"/>
                <w:sz w:val="22"/>
                <w:szCs w:val="22"/>
              </w:rPr>
            </w:pPr>
            <w:r>
              <w:rPr>
                <w:color w:val="000000"/>
                <w:sz w:val="22"/>
                <w:szCs w:val="22"/>
              </w:rPr>
              <w:t> </w:t>
            </w:r>
          </w:p>
        </w:tc>
        <w:tc>
          <w:tcPr>
            <w:tcW w:w="1383" w:type="dxa"/>
            <w:gridSpan w:val="2"/>
            <w:tcBorders>
              <w:left w:val="nil"/>
              <w:bottom w:val="single" w:sz="4" w:space="0" w:color="auto"/>
              <w:right w:val="nil"/>
            </w:tcBorders>
            <w:shd w:val="clear" w:color="auto" w:fill="auto"/>
            <w:vAlign w:val="bottom"/>
            <w:hideMark/>
          </w:tcPr>
          <w:p w:rsidR="00BC4246" w:rsidRDefault="00BC4246" w:rsidP="00BC4246">
            <w:pPr>
              <w:jc w:val="center"/>
              <w:rPr>
                <w:b/>
                <w:color w:val="000000"/>
                <w:sz w:val="22"/>
                <w:szCs w:val="22"/>
              </w:rPr>
            </w:pPr>
            <w:r>
              <w:rPr>
                <w:b/>
                <w:color w:val="000000"/>
                <w:sz w:val="22"/>
                <w:szCs w:val="22"/>
              </w:rPr>
              <w:t>[1]</w:t>
            </w:r>
          </w:p>
          <w:p w:rsidR="00226F30" w:rsidRPr="00226F30" w:rsidRDefault="00BC4246" w:rsidP="00BC4246">
            <w:pPr>
              <w:jc w:val="center"/>
              <w:rPr>
                <w:b/>
                <w:color w:val="000000"/>
                <w:sz w:val="22"/>
                <w:szCs w:val="22"/>
              </w:rPr>
            </w:pPr>
            <w:proofErr w:type="spellStart"/>
            <w:r w:rsidRPr="00BC4246">
              <w:rPr>
                <w:b/>
                <w:i/>
                <w:color w:val="000000"/>
                <w:sz w:val="22"/>
                <w:szCs w:val="22"/>
              </w:rPr>
              <w:t>Emp</w:t>
            </w:r>
            <w:r w:rsidR="00226F30" w:rsidRPr="00BC4246">
              <w:rPr>
                <w:b/>
                <w:i/>
                <w:color w:val="000000"/>
                <w:sz w:val="22"/>
                <w:szCs w:val="22"/>
              </w:rPr>
              <w:t>Share</w:t>
            </w:r>
            <w:proofErr w:type="spellEnd"/>
          </w:p>
        </w:tc>
        <w:tc>
          <w:tcPr>
            <w:tcW w:w="1626" w:type="dxa"/>
            <w:gridSpan w:val="2"/>
            <w:tcBorders>
              <w:left w:val="nil"/>
              <w:bottom w:val="single" w:sz="4" w:space="0" w:color="auto"/>
              <w:right w:val="nil"/>
            </w:tcBorders>
            <w:shd w:val="clear" w:color="auto" w:fill="auto"/>
            <w:vAlign w:val="bottom"/>
            <w:hideMark/>
          </w:tcPr>
          <w:p w:rsidR="00BC4246" w:rsidRDefault="00BC4246" w:rsidP="00BC4246">
            <w:pPr>
              <w:jc w:val="center"/>
              <w:rPr>
                <w:b/>
                <w:color w:val="000000"/>
                <w:sz w:val="22"/>
                <w:szCs w:val="22"/>
              </w:rPr>
            </w:pPr>
            <w:r>
              <w:rPr>
                <w:b/>
                <w:color w:val="000000"/>
                <w:sz w:val="22"/>
                <w:szCs w:val="22"/>
              </w:rPr>
              <w:t>[2]</w:t>
            </w:r>
          </w:p>
          <w:p w:rsidR="00226F30" w:rsidRPr="00226F30" w:rsidRDefault="00226F30" w:rsidP="00BC4246">
            <w:pPr>
              <w:jc w:val="center"/>
              <w:rPr>
                <w:rFonts w:ascii="Calibri" w:hAnsi="Calibri"/>
                <w:b/>
                <w:color w:val="000000"/>
                <w:sz w:val="22"/>
                <w:szCs w:val="22"/>
              </w:rPr>
            </w:pPr>
            <w:r w:rsidRPr="00226F30">
              <w:rPr>
                <w:b/>
                <w:color w:val="000000"/>
                <w:sz w:val="22"/>
                <w:szCs w:val="22"/>
              </w:rPr>
              <w:t>Log</w:t>
            </w:r>
            <w:r w:rsidR="00BC4246">
              <w:rPr>
                <w:b/>
                <w:color w:val="000000"/>
                <w:sz w:val="22"/>
                <w:szCs w:val="22"/>
              </w:rPr>
              <w:t xml:space="preserve"> of</w:t>
            </w:r>
            <w:r w:rsidRPr="00226F30">
              <w:rPr>
                <w:b/>
                <w:color w:val="000000"/>
                <w:sz w:val="22"/>
                <w:szCs w:val="22"/>
              </w:rPr>
              <w:t xml:space="preserve"> </w:t>
            </w:r>
            <w:proofErr w:type="spellStart"/>
            <w:r w:rsidRPr="00BC4246">
              <w:rPr>
                <w:b/>
                <w:i/>
                <w:color w:val="000000"/>
                <w:sz w:val="22"/>
                <w:szCs w:val="22"/>
              </w:rPr>
              <w:t>Dom</w:t>
            </w:r>
            <w:r w:rsidR="00BC4246" w:rsidRPr="00BC4246">
              <w:rPr>
                <w:b/>
                <w:i/>
                <w:color w:val="000000"/>
                <w:sz w:val="22"/>
                <w:szCs w:val="22"/>
              </w:rPr>
              <w:t>c</w:t>
            </w:r>
            <w:r w:rsidRPr="00BC4246">
              <w:rPr>
                <w:b/>
                <w:i/>
                <w:color w:val="000000"/>
                <w:sz w:val="22"/>
                <w:szCs w:val="22"/>
              </w:rPr>
              <w:t>os</w:t>
            </w:r>
            <w:proofErr w:type="spellEnd"/>
          </w:p>
        </w:tc>
        <w:tc>
          <w:tcPr>
            <w:tcW w:w="1127" w:type="dxa"/>
            <w:tcBorders>
              <w:left w:val="nil"/>
              <w:bottom w:val="single" w:sz="4" w:space="0" w:color="auto"/>
              <w:right w:val="nil"/>
            </w:tcBorders>
            <w:shd w:val="clear" w:color="auto" w:fill="auto"/>
            <w:vAlign w:val="bottom"/>
            <w:hideMark/>
          </w:tcPr>
          <w:p w:rsidR="00BC4246" w:rsidRPr="00974E2E" w:rsidRDefault="00BC4246" w:rsidP="00BC4246">
            <w:pPr>
              <w:jc w:val="center"/>
              <w:rPr>
                <w:b/>
                <w:color w:val="000000"/>
                <w:sz w:val="22"/>
                <w:szCs w:val="22"/>
              </w:rPr>
            </w:pPr>
            <w:r w:rsidRPr="00974E2E">
              <w:rPr>
                <w:b/>
                <w:color w:val="000000"/>
                <w:sz w:val="22"/>
                <w:szCs w:val="22"/>
              </w:rPr>
              <w:t>[3]</w:t>
            </w:r>
          </w:p>
          <w:p w:rsidR="00226F30" w:rsidRPr="00A968CD" w:rsidRDefault="00226F30" w:rsidP="00BC4246">
            <w:pPr>
              <w:jc w:val="center"/>
              <w:rPr>
                <w:b/>
                <w:i/>
                <w:color w:val="000000"/>
                <w:sz w:val="22"/>
                <w:szCs w:val="22"/>
                <w:highlight w:val="yellow"/>
              </w:rPr>
            </w:pPr>
            <w:r w:rsidRPr="00974E2E">
              <w:rPr>
                <w:b/>
                <w:i/>
                <w:color w:val="000000"/>
                <w:sz w:val="22"/>
                <w:szCs w:val="22"/>
              </w:rPr>
              <w:t>Exports</w:t>
            </w:r>
          </w:p>
        </w:tc>
        <w:tc>
          <w:tcPr>
            <w:tcW w:w="2116" w:type="dxa"/>
            <w:gridSpan w:val="3"/>
            <w:tcBorders>
              <w:left w:val="nil"/>
              <w:bottom w:val="single" w:sz="4" w:space="0" w:color="auto"/>
              <w:right w:val="nil"/>
            </w:tcBorders>
            <w:shd w:val="clear" w:color="auto" w:fill="auto"/>
            <w:vAlign w:val="bottom"/>
            <w:hideMark/>
          </w:tcPr>
          <w:p w:rsidR="00BC4246" w:rsidRPr="00974E2E" w:rsidRDefault="00BC4246" w:rsidP="00BC4246">
            <w:pPr>
              <w:jc w:val="center"/>
              <w:rPr>
                <w:b/>
                <w:color w:val="000000"/>
                <w:sz w:val="22"/>
                <w:szCs w:val="22"/>
              </w:rPr>
            </w:pPr>
            <w:r w:rsidRPr="00974E2E">
              <w:rPr>
                <w:b/>
                <w:color w:val="000000"/>
                <w:sz w:val="22"/>
                <w:szCs w:val="22"/>
              </w:rPr>
              <w:t>[4]</w:t>
            </w:r>
          </w:p>
          <w:p w:rsidR="00226F30" w:rsidRPr="00A968CD" w:rsidRDefault="00BC4246" w:rsidP="00BC4246">
            <w:pPr>
              <w:jc w:val="center"/>
              <w:rPr>
                <w:b/>
                <w:i/>
                <w:color w:val="000000"/>
                <w:sz w:val="22"/>
                <w:szCs w:val="22"/>
                <w:highlight w:val="yellow"/>
              </w:rPr>
            </w:pPr>
            <w:r w:rsidRPr="00974E2E">
              <w:rPr>
                <w:b/>
                <w:i/>
                <w:color w:val="000000"/>
                <w:sz w:val="22"/>
                <w:szCs w:val="22"/>
              </w:rPr>
              <w:t>Output</w:t>
            </w:r>
          </w:p>
        </w:tc>
        <w:tc>
          <w:tcPr>
            <w:tcW w:w="1482" w:type="dxa"/>
            <w:gridSpan w:val="3"/>
            <w:tcBorders>
              <w:left w:val="nil"/>
              <w:bottom w:val="single" w:sz="4" w:space="0" w:color="auto"/>
              <w:right w:val="nil"/>
            </w:tcBorders>
            <w:shd w:val="clear" w:color="auto" w:fill="auto"/>
            <w:vAlign w:val="bottom"/>
            <w:hideMark/>
          </w:tcPr>
          <w:p w:rsidR="00BC4246" w:rsidRDefault="00BC4246" w:rsidP="00BC4246">
            <w:pPr>
              <w:jc w:val="center"/>
              <w:rPr>
                <w:b/>
                <w:color w:val="000000"/>
                <w:sz w:val="22"/>
                <w:szCs w:val="22"/>
              </w:rPr>
            </w:pPr>
            <w:r>
              <w:rPr>
                <w:b/>
                <w:color w:val="000000"/>
                <w:sz w:val="22"/>
                <w:szCs w:val="22"/>
              </w:rPr>
              <w:t>[5]</w:t>
            </w:r>
          </w:p>
          <w:p w:rsidR="00226F30" w:rsidRPr="00BC4246" w:rsidRDefault="00BC4246" w:rsidP="00BC4246">
            <w:pPr>
              <w:jc w:val="center"/>
              <w:rPr>
                <w:b/>
                <w:i/>
                <w:color w:val="000000"/>
                <w:sz w:val="22"/>
                <w:szCs w:val="22"/>
              </w:rPr>
            </w:pPr>
            <w:proofErr w:type="spellStart"/>
            <w:r w:rsidRPr="00BC4246">
              <w:rPr>
                <w:b/>
                <w:i/>
                <w:color w:val="000000"/>
                <w:sz w:val="22"/>
                <w:szCs w:val="22"/>
              </w:rPr>
              <w:t>Prem</w:t>
            </w:r>
            <w:r w:rsidR="00226F30" w:rsidRPr="00BC4246">
              <w:rPr>
                <w:b/>
                <w:i/>
                <w:color w:val="000000"/>
                <w:sz w:val="22"/>
                <w:szCs w:val="22"/>
              </w:rPr>
              <w:t>Share</w:t>
            </w:r>
            <w:proofErr w:type="spellEnd"/>
          </w:p>
        </w:tc>
        <w:tc>
          <w:tcPr>
            <w:tcW w:w="1352" w:type="dxa"/>
            <w:gridSpan w:val="2"/>
            <w:tcBorders>
              <w:left w:val="nil"/>
              <w:bottom w:val="single" w:sz="4" w:space="0" w:color="auto"/>
              <w:right w:val="nil"/>
            </w:tcBorders>
            <w:shd w:val="clear" w:color="auto" w:fill="auto"/>
            <w:vAlign w:val="bottom"/>
            <w:hideMark/>
          </w:tcPr>
          <w:p w:rsidR="00BC4246" w:rsidRDefault="00BC4246" w:rsidP="00BC4246">
            <w:pPr>
              <w:jc w:val="center"/>
              <w:rPr>
                <w:b/>
                <w:color w:val="000000"/>
                <w:sz w:val="22"/>
                <w:szCs w:val="22"/>
              </w:rPr>
            </w:pPr>
            <w:r>
              <w:rPr>
                <w:b/>
                <w:color w:val="000000"/>
                <w:sz w:val="22"/>
                <w:szCs w:val="22"/>
              </w:rPr>
              <w:t>[6]</w:t>
            </w:r>
          </w:p>
          <w:p w:rsidR="00226F30" w:rsidRPr="00BC4246" w:rsidRDefault="00226F30" w:rsidP="00BC4246">
            <w:pPr>
              <w:jc w:val="center"/>
              <w:rPr>
                <w:b/>
                <w:i/>
                <w:color w:val="000000"/>
                <w:sz w:val="22"/>
                <w:szCs w:val="22"/>
              </w:rPr>
            </w:pPr>
            <w:r w:rsidRPr="00BC4246">
              <w:rPr>
                <w:b/>
                <w:i/>
                <w:color w:val="000000"/>
                <w:sz w:val="22"/>
                <w:szCs w:val="22"/>
              </w:rPr>
              <w:t>Agent</w:t>
            </w:r>
            <w:r w:rsidR="00BC4246" w:rsidRPr="00BC4246">
              <w:rPr>
                <w:b/>
                <w:i/>
                <w:color w:val="000000"/>
                <w:sz w:val="22"/>
                <w:szCs w:val="22"/>
              </w:rPr>
              <w:t>s</w:t>
            </w:r>
          </w:p>
        </w:tc>
      </w:tr>
      <w:tr w:rsidR="000F4F52" w:rsidTr="002D3324">
        <w:trPr>
          <w:trHeight w:val="288"/>
        </w:trPr>
        <w:tc>
          <w:tcPr>
            <w:tcW w:w="3251" w:type="dxa"/>
            <w:tcBorders>
              <w:top w:val="single" w:sz="4" w:space="0" w:color="auto"/>
              <w:left w:val="nil"/>
              <w:bottom w:val="nil"/>
              <w:right w:val="nil"/>
            </w:tcBorders>
            <w:shd w:val="clear" w:color="auto" w:fill="auto"/>
            <w:noWrap/>
            <w:vAlign w:val="bottom"/>
            <w:hideMark/>
          </w:tcPr>
          <w:p w:rsidR="000F4F52" w:rsidRPr="00327E5E" w:rsidRDefault="00327E5E" w:rsidP="00327E5E">
            <w:pPr>
              <w:rPr>
                <w:i/>
                <w:color w:val="000000"/>
                <w:sz w:val="22"/>
                <w:szCs w:val="22"/>
              </w:rPr>
            </w:pPr>
            <w:proofErr w:type="spellStart"/>
            <w:r w:rsidRPr="00327E5E">
              <w:rPr>
                <w:i/>
                <w:color w:val="000000"/>
                <w:sz w:val="22"/>
                <w:szCs w:val="22"/>
              </w:rPr>
              <w:t>FRate</w:t>
            </w:r>
            <w:proofErr w:type="spellEnd"/>
          </w:p>
        </w:tc>
        <w:tc>
          <w:tcPr>
            <w:tcW w:w="986" w:type="dxa"/>
            <w:tcBorders>
              <w:top w:val="single" w:sz="4" w:space="0" w:color="auto"/>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-18</w:t>
            </w:r>
            <w:r w:rsidR="00BC4246">
              <w:rPr>
                <w:color w:val="000000"/>
                <w:sz w:val="22"/>
                <w:szCs w:val="22"/>
              </w:rPr>
              <w:t>2.038</w:t>
            </w:r>
          </w:p>
        </w:tc>
        <w:tc>
          <w:tcPr>
            <w:tcW w:w="397" w:type="dxa"/>
            <w:tcBorders>
              <w:top w:val="single" w:sz="4" w:space="0" w:color="auto"/>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1080" w:type="dxa"/>
            <w:tcBorders>
              <w:top w:val="single" w:sz="4" w:space="0" w:color="auto"/>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-87.</w:t>
            </w:r>
            <w:r w:rsidR="002536F6">
              <w:rPr>
                <w:color w:val="000000"/>
                <w:sz w:val="22"/>
                <w:szCs w:val="22"/>
              </w:rPr>
              <w:t>852</w:t>
            </w:r>
          </w:p>
        </w:tc>
        <w:tc>
          <w:tcPr>
            <w:tcW w:w="546" w:type="dxa"/>
            <w:tcBorders>
              <w:top w:val="single" w:sz="4" w:space="0" w:color="auto"/>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1127" w:type="dxa"/>
            <w:tcBorders>
              <w:top w:val="single" w:sz="4" w:space="0" w:color="auto"/>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-120</w:t>
            </w:r>
            <w:r w:rsidR="00974E2E">
              <w:rPr>
                <w:color w:val="000000"/>
                <w:sz w:val="22"/>
                <w:szCs w:val="22"/>
              </w:rPr>
              <w:t>3.552</w:t>
            </w:r>
          </w:p>
        </w:tc>
        <w:tc>
          <w:tcPr>
            <w:tcW w:w="634" w:type="dxa"/>
            <w:tcBorders>
              <w:top w:val="single" w:sz="4" w:space="0" w:color="auto"/>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tcBorders>
              <w:top w:val="single" w:sz="4" w:space="0" w:color="auto"/>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-27</w:t>
            </w:r>
            <w:r w:rsidR="00974E2E">
              <w:rPr>
                <w:color w:val="000000"/>
                <w:sz w:val="22"/>
                <w:szCs w:val="22"/>
              </w:rPr>
              <w:t>02.478</w:t>
            </w:r>
          </w:p>
        </w:tc>
        <w:tc>
          <w:tcPr>
            <w:tcW w:w="498" w:type="dxa"/>
            <w:tcBorders>
              <w:top w:val="single" w:sz="4" w:space="0" w:color="auto"/>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tcBorders>
              <w:top w:val="single" w:sz="4" w:space="0" w:color="auto"/>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-390.</w:t>
            </w:r>
            <w:r w:rsidR="002536F6">
              <w:rPr>
                <w:color w:val="000000"/>
                <w:sz w:val="22"/>
                <w:szCs w:val="22"/>
              </w:rPr>
              <w:t>122</w:t>
            </w:r>
          </w:p>
        </w:tc>
        <w:tc>
          <w:tcPr>
            <w:tcW w:w="368" w:type="dxa"/>
            <w:tcBorders>
              <w:top w:val="single" w:sz="4" w:space="0" w:color="auto"/>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gridSpan w:val="2"/>
            <w:tcBorders>
              <w:top w:val="single" w:sz="4" w:space="0" w:color="auto"/>
              <w:left w:val="nil"/>
              <w:bottom w:val="nil"/>
              <w:right w:val="nil"/>
            </w:tcBorders>
            <w:shd w:val="clear" w:color="auto" w:fill="auto"/>
            <w:noWrap/>
            <w:vAlign w:val="bottom"/>
            <w:hideMark/>
          </w:tcPr>
          <w:p w:rsidR="000F4F52" w:rsidRDefault="00BC4246" w:rsidP="00BC4246">
            <w:pPr>
              <w:jc w:val="right"/>
              <w:rPr>
                <w:color w:val="000000"/>
                <w:sz w:val="22"/>
                <w:szCs w:val="22"/>
              </w:rPr>
            </w:pPr>
            <w:r>
              <w:rPr>
                <w:color w:val="000000"/>
                <w:sz w:val="22"/>
                <w:szCs w:val="22"/>
              </w:rPr>
              <w:t>-766</w:t>
            </w:r>
            <w:r w:rsidR="000F4F52">
              <w:rPr>
                <w:color w:val="000000"/>
                <w:sz w:val="22"/>
                <w:szCs w:val="22"/>
              </w:rPr>
              <w:t>.</w:t>
            </w:r>
            <w:r>
              <w:rPr>
                <w:color w:val="000000"/>
                <w:sz w:val="22"/>
                <w:szCs w:val="22"/>
              </w:rPr>
              <w:t>735</w:t>
            </w:r>
          </w:p>
        </w:tc>
        <w:tc>
          <w:tcPr>
            <w:tcW w:w="546" w:type="dxa"/>
            <w:gridSpan w:val="2"/>
            <w:tcBorders>
              <w:top w:val="single" w:sz="4" w:space="0" w:color="auto"/>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r>
      <w:tr w:rsidR="000F4F52" w:rsidTr="002D3324">
        <w:trPr>
          <w:trHeight w:val="288"/>
        </w:trPr>
        <w:tc>
          <w:tcPr>
            <w:tcW w:w="3251"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6" w:type="dxa"/>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(2</w:t>
            </w:r>
            <w:r w:rsidR="00BC4246">
              <w:rPr>
                <w:color w:val="000000"/>
                <w:sz w:val="22"/>
                <w:szCs w:val="22"/>
              </w:rPr>
              <w:t>1.305</w:t>
            </w:r>
            <w:r>
              <w:rPr>
                <w:color w:val="000000"/>
                <w:sz w:val="22"/>
                <w:szCs w:val="22"/>
              </w:rPr>
              <w:t>)</w:t>
            </w:r>
          </w:p>
        </w:tc>
        <w:tc>
          <w:tcPr>
            <w:tcW w:w="397"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080" w:type="dxa"/>
            <w:tcBorders>
              <w:top w:val="nil"/>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(9.</w:t>
            </w:r>
            <w:r w:rsidR="002536F6">
              <w:rPr>
                <w:color w:val="000000"/>
                <w:sz w:val="22"/>
                <w:szCs w:val="22"/>
              </w:rPr>
              <w:t>612</w:t>
            </w:r>
            <w:r>
              <w:rPr>
                <w:color w:val="000000"/>
                <w:sz w:val="22"/>
                <w:szCs w:val="22"/>
              </w:rPr>
              <w:t>)</w:t>
            </w:r>
          </w:p>
        </w:tc>
        <w:tc>
          <w:tcPr>
            <w:tcW w:w="546"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127" w:type="dxa"/>
            <w:tcBorders>
              <w:top w:val="nil"/>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(17</w:t>
            </w:r>
            <w:r w:rsidR="00974E2E">
              <w:rPr>
                <w:color w:val="000000"/>
                <w:sz w:val="22"/>
                <w:szCs w:val="22"/>
              </w:rPr>
              <w:t>7.558</w:t>
            </w:r>
            <w:r>
              <w:rPr>
                <w:color w:val="000000"/>
                <w:sz w:val="22"/>
                <w:szCs w:val="22"/>
              </w:rPr>
              <w:t>)</w:t>
            </w:r>
          </w:p>
        </w:tc>
        <w:tc>
          <w:tcPr>
            <w:tcW w:w="634"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w:t>
            </w:r>
            <w:r w:rsidR="00226F30">
              <w:rPr>
                <w:color w:val="000000"/>
                <w:sz w:val="22"/>
                <w:szCs w:val="22"/>
              </w:rPr>
              <w:t>365</w:t>
            </w:r>
            <w:r w:rsidR="00974E2E">
              <w:rPr>
                <w:color w:val="000000"/>
                <w:sz w:val="22"/>
                <w:szCs w:val="22"/>
              </w:rPr>
              <w:t>.857</w:t>
            </w:r>
            <w:r>
              <w:rPr>
                <w:color w:val="000000"/>
                <w:sz w:val="22"/>
                <w:szCs w:val="22"/>
              </w:rPr>
              <w:t>)</w:t>
            </w:r>
          </w:p>
        </w:tc>
        <w:tc>
          <w:tcPr>
            <w:tcW w:w="49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2536F6" w:rsidP="002536F6">
            <w:pPr>
              <w:jc w:val="right"/>
              <w:rPr>
                <w:color w:val="000000"/>
                <w:sz w:val="22"/>
                <w:szCs w:val="22"/>
              </w:rPr>
            </w:pPr>
            <w:r>
              <w:rPr>
                <w:color w:val="000000"/>
                <w:sz w:val="22"/>
                <w:szCs w:val="22"/>
              </w:rPr>
              <w:t>(51</w:t>
            </w:r>
            <w:r w:rsidR="000F4F52">
              <w:rPr>
                <w:color w:val="000000"/>
                <w:sz w:val="22"/>
                <w:szCs w:val="22"/>
              </w:rPr>
              <w:t>.</w:t>
            </w:r>
            <w:r>
              <w:rPr>
                <w:color w:val="000000"/>
                <w:sz w:val="22"/>
                <w:szCs w:val="22"/>
              </w:rPr>
              <w:t>465</w:t>
            </w:r>
            <w:r w:rsidR="000F4F52">
              <w:rPr>
                <w:color w:val="000000"/>
                <w:sz w:val="22"/>
                <w:szCs w:val="22"/>
              </w:rPr>
              <w:t>)</w:t>
            </w:r>
          </w:p>
        </w:tc>
        <w:tc>
          <w:tcPr>
            <w:tcW w:w="36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gridSpan w:val="2"/>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w:t>
            </w:r>
            <w:r w:rsidR="00BC4246">
              <w:rPr>
                <w:color w:val="000000"/>
                <w:sz w:val="22"/>
                <w:szCs w:val="22"/>
              </w:rPr>
              <w:t>124.839</w:t>
            </w:r>
            <w:r>
              <w:rPr>
                <w:color w:val="000000"/>
                <w:sz w:val="22"/>
                <w:szCs w:val="22"/>
              </w:rPr>
              <w:t>)</w:t>
            </w:r>
          </w:p>
        </w:tc>
        <w:tc>
          <w:tcPr>
            <w:tcW w:w="546" w:type="dxa"/>
            <w:gridSpan w:val="2"/>
            <w:tcBorders>
              <w:top w:val="nil"/>
              <w:left w:val="nil"/>
              <w:bottom w:val="nil"/>
              <w:right w:val="nil"/>
            </w:tcBorders>
            <w:shd w:val="clear" w:color="auto" w:fill="auto"/>
            <w:noWrap/>
            <w:vAlign w:val="bottom"/>
            <w:hideMark/>
          </w:tcPr>
          <w:p w:rsidR="000F4F52" w:rsidRDefault="000F4F52">
            <w:pPr>
              <w:rPr>
                <w:color w:val="000000"/>
                <w:sz w:val="22"/>
                <w:szCs w:val="22"/>
              </w:rPr>
            </w:pPr>
          </w:p>
        </w:tc>
      </w:tr>
      <w:tr w:rsidR="000F4F52" w:rsidTr="002D3324">
        <w:trPr>
          <w:trHeight w:val="288"/>
        </w:trPr>
        <w:tc>
          <w:tcPr>
            <w:tcW w:w="3251" w:type="dxa"/>
            <w:tcBorders>
              <w:top w:val="nil"/>
              <w:left w:val="nil"/>
              <w:bottom w:val="nil"/>
              <w:right w:val="nil"/>
            </w:tcBorders>
            <w:shd w:val="clear" w:color="auto" w:fill="auto"/>
            <w:noWrap/>
            <w:vAlign w:val="bottom"/>
            <w:hideMark/>
          </w:tcPr>
          <w:p w:rsidR="000F4F52" w:rsidRPr="00327E5E" w:rsidRDefault="000F4F52" w:rsidP="00327E5E">
            <w:pPr>
              <w:rPr>
                <w:i/>
                <w:color w:val="000000"/>
                <w:sz w:val="22"/>
                <w:szCs w:val="22"/>
              </w:rPr>
            </w:pPr>
            <w:proofErr w:type="spellStart"/>
            <w:r w:rsidRPr="00327E5E">
              <w:rPr>
                <w:i/>
                <w:color w:val="000000"/>
                <w:sz w:val="22"/>
                <w:szCs w:val="22"/>
              </w:rPr>
              <w:t>DifRate</w:t>
            </w:r>
            <w:proofErr w:type="spellEnd"/>
          </w:p>
        </w:tc>
        <w:tc>
          <w:tcPr>
            <w:tcW w:w="986" w:type="dxa"/>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57.</w:t>
            </w:r>
            <w:r w:rsidR="00BC4246">
              <w:rPr>
                <w:color w:val="000000"/>
                <w:sz w:val="22"/>
                <w:szCs w:val="22"/>
              </w:rPr>
              <w:t>208</w:t>
            </w:r>
          </w:p>
        </w:tc>
        <w:tc>
          <w:tcPr>
            <w:tcW w:w="397"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1080" w:type="dxa"/>
            <w:tcBorders>
              <w:top w:val="nil"/>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2</w:t>
            </w:r>
            <w:r w:rsidR="002536F6">
              <w:rPr>
                <w:color w:val="000000"/>
                <w:sz w:val="22"/>
                <w:szCs w:val="22"/>
              </w:rPr>
              <w:t>3</w:t>
            </w:r>
            <w:r>
              <w:rPr>
                <w:color w:val="000000"/>
                <w:sz w:val="22"/>
                <w:szCs w:val="22"/>
              </w:rPr>
              <w:t>.</w:t>
            </w:r>
            <w:r w:rsidR="002536F6">
              <w:rPr>
                <w:color w:val="000000"/>
                <w:sz w:val="22"/>
                <w:szCs w:val="22"/>
              </w:rPr>
              <w:t>131</w:t>
            </w:r>
          </w:p>
        </w:tc>
        <w:tc>
          <w:tcPr>
            <w:tcW w:w="546"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1127" w:type="dxa"/>
            <w:tcBorders>
              <w:top w:val="nil"/>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20</w:t>
            </w:r>
            <w:r w:rsidR="00974E2E">
              <w:rPr>
                <w:color w:val="000000"/>
                <w:sz w:val="22"/>
                <w:szCs w:val="22"/>
              </w:rPr>
              <w:t>1.335</w:t>
            </w:r>
          </w:p>
        </w:tc>
        <w:tc>
          <w:tcPr>
            <w:tcW w:w="634"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tcBorders>
              <w:top w:val="nil"/>
              <w:left w:val="nil"/>
              <w:bottom w:val="nil"/>
              <w:right w:val="nil"/>
            </w:tcBorders>
            <w:shd w:val="clear" w:color="auto" w:fill="auto"/>
            <w:noWrap/>
            <w:vAlign w:val="bottom"/>
            <w:hideMark/>
          </w:tcPr>
          <w:p w:rsidR="000F4F52" w:rsidRDefault="00974E2E" w:rsidP="00974E2E">
            <w:pPr>
              <w:jc w:val="right"/>
              <w:rPr>
                <w:color w:val="000000"/>
                <w:sz w:val="22"/>
                <w:szCs w:val="22"/>
              </w:rPr>
            </w:pPr>
            <w:r>
              <w:rPr>
                <w:color w:val="000000"/>
                <w:sz w:val="22"/>
                <w:szCs w:val="22"/>
              </w:rPr>
              <w:t>475.947</w:t>
            </w:r>
          </w:p>
        </w:tc>
        <w:tc>
          <w:tcPr>
            <w:tcW w:w="498"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tcBorders>
              <w:top w:val="nil"/>
              <w:left w:val="nil"/>
              <w:bottom w:val="nil"/>
              <w:right w:val="nil"/>
            </w:tcBorders>
            <w:shd w:val="clear" w:color="auto" w:fill="auto"/>
            <w:noWrap/>
            <w:vAlign w:val="bottom"/>
            <w:hideMark/>
          </w:tcPr>
          <w:p w:rsidR="000F4F52" w:rsidRDefault="002536F6" w:rsidP="002536F6">
            <w:pPr>
              <w:jc w:val="right"/>
              <w:rPr>
                <w:color w:val="000000"/>
                <w:sz w:val="22"/>
                <w:szCs w:val="22"/>
              </w:rPr>
            </w:pPr>
            <w:r>
              <w:rPr>
                <w:color w:val="000000"/>
                <w:sz w:val="22"/>
                <w:szCs w:val="22"/>
              </w:rPr>
              <w:t>72</w:t>
            </w:r>
            <w:r w:rsidR="000F4F52">
              <w:rPr>
                <w:color w:val="000000"/>
                <w:sz w:val="22"/>
                <w:szCs w:val="22"/>
              </w:rPr>
              <w:t>.</w:t>
            </w:r>
            <w:r>
              <w:rPr>
                <w:color w:val="000000"/>
                <w:sz w:val="22"/>
                <w:szCs w:val="22"/>
              </w:rPr>
              <w:t>305</w:t>
            </w:r>
          </w:p>
        </w:tc>
        <w:tc>
          <w:tcPr>
            <w:tcW w:w="368"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gridSpan w:val="2"/>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26</w:t>
            </w:r>
            <w:r w:rsidR="00BC4246">
              <w:rPr>
                <w:color w:val="000000"/>
                <w:sz w:val="22"/>
                <w:szCs w:val="22"/>
              </w:rPr>
              <w:t>5</w:t>
            </w:r>
            <w:r>
              <w:rPr>
                <w:color w:val="000000"/>
                <w:sz w:val="22"/>
                <w:szCs w:val="22"/>
              </w:rPr>
              <w:t>.</w:t>
            </w:r>
            <w:r w:rsidR="00BC4246">
              <w:rPr>
                <w:color w:val="000000"/>
                <w:sz w:val="22"/>
                <w:szCs w:val="22"/>
              </w:rPr>
              <w:t>836</w:t>
            </w:r>
          </w:p>
        </w:tc>
        <w:tc>
          <w:tcPr>
            <w:tcW w:w="546" w:type="dxa"/>
            <w:gridSpan w:val="2"/>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r>
      <w:tr w:rsidR="000F4F52" w:rsidTr="002D3324">
        <w:trPr>
          <w:trHeight w:val="288"/>
        </w:trPr>
        <w:tc>
          <w:tcPr>
            <w:tcW w:w="3251"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6" w:type="dxa"/>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(7.2</w:t>
            </w:r>
            <w:r w:rsidR="00BC4246">
              <w:rPr>
                <w:color w:val="000000"/>
                <w:sz w:val="22"/>
                <w:szCs w:val="22"/>
              </w:rPr>
              <w:t>0</w:t>
            </w:r>
            <w:r>
              <w:rPr>
                <w:color w:val="000000"/>
                <w:sz w:val="22"/>
                <w:szCs w:val="22"/>
              </w:rPr>
              <w:t>9)</w:t>
            </w:r>
          </w:p>
        </w:tc>
        <w:tc>
          <w:tcPr>
            <w:tcW w:w="397"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080" w:type="dxa"/>
            <w:tcBorders>
              <w:top w:val="nil"/>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(3.</w:t>
            </w:r>
            <w:r w:rsidR="002536F6">
              <w:rPr>
                <w:color w:val="000000"/>
                <w:sz w:val="22"/>
                <w:szCs w:val="22"/>
              </w:rPr>
              <w:t>772</w:t>
            </w:r>
            <w:r>
              <w:rPr>
                <w:color w:val="000000"/>
                <w:sz w:val="22"/>
                <w:szCs w:val="22"/>
              </w:rPr>
              <w:t>)</w:t>
            </w:r>
          </w:p>
        </w:tc>
        <w:tc>
          <w:tcPr>
            <w:tcW w:w="546"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127" w:type="dxa"/>
            <w:tcBorders>
              <w:top w:val="nil"/>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(4</w:t>
            </w:r>
            <w:r w:rsidR="00974E2E">
              <w:rPr>
                <w:color w:val="000000"/>
                <w:sz w:val="22"/>
                <w:szCs w:val="22"/>
              </w:rPr>
              <w:t>6.418</w:t>
            </w:r>
            <w:r>
              <w:rPr>
                <w:color w:val="000000"/>
                <w:sz w:val="22"/>
                <w:szCs w:val="22"/>
              </w:rPr>
              <w:t>)</w:t>
            </w:r>
          </w:p>
        </w:tc>
        <w:tc>
          <w:tcPr>
            <w:tcW w:w="634"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(9</w:t>
            </w:r>
            <w:r w:rsidR="00974E2E">
              <w:rPr>
                <w:color w:val="000000"/>
                <w:sz w:val="22"/>
                <w:szCs w:val="22"/>
              </w:rPr>
              <w:t>7.392</w:t>
            </w:r>
            <w:r>
              <w:rPr>
                <w:color w:val="000000"/>
                <w:sz w:val="22"/>
                <w:szCs w:val="22"/>
              </w:rPr>
              <w:t>)</w:t>
            </w:r>
          </w:p>
        </w:tc>
        <w:tc>
          <w:tcPr>
            <w:tcW w:w="49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2536F6" w:rsidP="002536F6">
            <w:pPr>
              <w:jc w:val="right"/>
              <w:rPr>
                <w:color w:val="000000"/>
                <w:sz w:val="22"/>
                <w:szCs w:val="22"/>
              </w:rPr>
            </w:pPr>
            <w:r>
              <w:rPr>
                <w:color w:val="000000"/>
                <w:sz w:val="22"/>
                <w:szCs w:val="22"/>
              </w:rPr>
              <w:t>(15.705</w:t>
            </w:r>
            <w:r w:rsidR="000F4F52">
              <w:rPr>
                <w:color w:val="000000"/>
                <w:sz w:val="22"/>
                <w:szCs w:val="22"/>
              </w:rPr>
              <w:t>)</w:t>
            </w:r>
          </w:p>
        </w:tc>
        <w:tc>
          <w:tcPr>
            <w:tcW w:w="36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gridSpan w:val="2"/>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(42.9</w:t>
            </w:r>
            <w:r w:rsidR="00BC4246">
              <w:rPr>
                <w:color w:val="000000"/>
                <w:sz w:val="22"/>
                <w:szCs w:val="22"/>
              </w:rPr>
              <w:t>34</w:t>
            </w:r>
            <w:r>
              <w:rPr>
                <w:color w:val="000000"/>
                <w:sz w:val="22"/>
                <w:szCs w:val="22"/>
              </w:rPr>
              <w:t>)</w:t>
            </w:r>
          </w:p>
        </w:tc>
        <w:tc>
          <w:tcPr>
            <w:tcW w:w="546" w:type="dxa"/>
            <w:gridSpan w:val="2"/>
            <w:tcBorders>
              <w:top w:val="nil"/>
              <w:left w:val="nil"/>
              <w:bottom w:val="nil"/>
              <w:right w:val="nil"/>
            </w:tcBorders>
            <w:shd w:val="clear" w:color="auto" w:fill="auto"/>
            <w:noWrap/>
            <w:vAlign w:val="bottom"/>
            <w:hideMark/>
          </w:tcPr>
          <w:p w:rsidR="000F4F52" w:rsidRDefault="000F4F52">
            <w:pPr>
              <w:rPr>
                <w:color w:val="000000"/>
                <w:sz w:val="22"/>
                <w:szCs w:val="22"/>
              </w:rPr>
            </w:pPr>
          </w:p>
        </w:tc>
      </w:tr>
      <w:tr w:rsidR="000F4F52" w:rsidTr="002D3324">
        <w:trPr>
          <w:trHeight w:val="288"/>
        </w:trPr>
        <w:tc>
          <w:tcPr>
            <w:tcW w:w="3251" w:type="dxa"/>
            <w:tcBorders>
              <w:top w:val="nil"/>
              <w:left w:val="nil"/>
              <w:bottom w:val="nil"/>
              <w:right w:val="nil"/>
            </w:tcBorders>
            <w:shd w:val="clear" w:color="auto" w:fill="auto"/>
            <w:noWrap/>
            <w:vAlign w:val="bottom"/>
            <w:hideMark/>
          </w:tcPr>
          <w:p w:rsidR="000F4F52" w:rsidRDefault="000F4F52" w:rsidP="00323421">
            <w:pPr>
              <w:rPr>
                <w:color w:val="000000"/>
                <w:sz w:val="22"/>
                <w:szCs w:val="22"/>
              </w:rPr>
            </w:pPr>
            <w:r>
              <w:rPr>
                <w:color w:val="000000"/>
                <w:sz w:val="22"/>
                <w:szCs w:val="22"/>
              </w:rPr>
              <w:t xml:space="preserve">Elasticity with respect to </w:t>
            </w:r>
            <w:proofErr w:type="spellStart"/>
            <w:r w:rsidRPr="00323421">
              <w:rPr>
                <w:i/>
                <w:color w:val="000000"/>
                <w:sz w:val="22"/>
                <w:szCs w:val="22"/>
              </w:rPr>
              <w:t>FRate</w:t>
            </w:r>
            <w:proofErr w:type="spellEnd"/>
          </w:p>
        </w:tc>
        <w:tc>
          <w:tcPr>
            <w:tcW w:w="986" w:type="dxa"/>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-1.4</w:t>
            </w:r>
            <w:r w:rsidR="00BC4246">
              <w:rPr>
                <w:color w:val="000000"/>
                <w:sz w:val="22"/>
                <w:szCs w:val="22"/>
              </w:rPr>
              <w:t>31</w:t>
            </w:r>
          </w:p>
        </w:tc>
        <w:tc>
          <w:tcPr>
            <w:tcW w:w="397"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1080"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-1.483</w:t>
            </w:r>
          </w:p>
        </w:tc>
        <w:tc>
          <w:tcPr>
            <w:tcW w:w="546"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1127"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-3.950</w:t>
            </w:r>
          </w:p>
        </w:tc>
        <w:tc>
          <w:tcPr>
            <w:tcW w:w="634"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-3.743</w:t>
            </w:r>
          </w:p>
        </w:tc>
        <w:tc>
          <w:tcPr>
            <w:tcW w:w="498"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tcBorders>
              <w:top w:val="nil"/>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-3.6</w:t>
            </w:r>
            <w:r w:rsidR="002536F6">
              <w:rPr>
                <w:color w:val="000000"/>
                <w:sz w:val="22"/>
                <w:szCs w:val="22"/>
              </w:rPr>
              <w:t>49</w:t>
            </w:r>
          </w:p>
        </w:tc>
        <w:tc>
          <w:tcPr>
            <w:tcW w:w="368"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c>
          <w:tcPr>
            <w:tcW w:w="984" w:type="dxa"/>
            <w:gridSpan w:val="2"/>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-0.9</w:t>
            </w:r>
            <w:r w:rsidR="00BC4246">
              <w:rPr>
                <w:color w:val="000000"/>
                <w:sz w:val="22"/>
                <w:szCs w:val="22"/>
              </w:rPr>
              <w:t>33</w:t>
            </w:r>
          </w:p>
        </w:tc>
        <w:tc>
          <w:tcPr>
            <w:tcW w:w="546" w:type="dxa"/>
            <w:gridSpan w:val="2"/>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w:t>
            </w:r>
          </w:p>
        </w:tc>
      </w:tr>
      <w:tr w:rsidR="000F4F52" w:rsidTr="002D3324">
        <w:trPr>
          <w:trHeight w:val="288"/>
        </w:trPr>
        <w:tc>
          <w:tcPr>
            <w:tcW w:w="3251"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(0.20</w:t>
            </w:r>
            <w:r w:rsidR="00BC4246">
              <w:rPr>
                <w:color w:val="000000"/>
                <w:sz w:val="22"/>
                <w:szCs w:val="22"/>
              </w:rPr>
              <w:t>1</w:t>
            </w:r>
            <w:r>
              <w:rPr>
                <w:color w:val="000000"/>
                <w:sz w:val="22"/>
                <w:szCs w:val="22"/>
              </w:rPr>
              <w:t>)</w:t>
            </w:r>
          </w:p>
        </w:tc>
        <w:tc>
          <w:tcPr>
            <w:tcW w:w="397"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1080" w:type="dxa"/>
            <w:tcBorders>
              <w:top w:val="nil"/>
              <w:left w:val="nil"/>
              <w:bottom w:val="single" w:sz="4" w:space="0" w:color="auto"/>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(0.181)</w:t>
            </w:r>
          </w:p>
        </w:tc>
        <w:tc>
          <w:tcPr>
            <w:tcW w:w="546"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1127" w:type="dxa"/>
            <w:tcBorders>
              <w:top w:val="nil"/>
              <w:left w:val="nil"/>
              <w:bottom w:val="single" w:sz="4" w:space="0" w:color="auto"/>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(0.578)</w:t>
            </w:r>
          </w:p>
        </w:tc>
        <w:tc>
          <w:tcPr>
            <w:tcW w:w="634"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4" w:type="dxa"/>
            <w:tcBorders>
              <w:top w:val="nil"/>
              <w:left w:val="nil"/>
              <w:bottom w:val="single" w:sz="4" w:space="0" w:color="auto"/>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(0.508)</w:t>
            </w:r>
          </w:p>
        </w:tc>
        <w:tc>
          <w:tcPr>
            <w:tcW w:w="498"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4" w:type="dxa"/>
            <w:tcBorders>
              <w:top w:val="nil"/>
              <w:left w:val="nil"/>
              <w:bottom w:val="single" w:sz="4" w:space="0" w:color="auto"/>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(0.47</w:t>
            </w:r>
            <w:r w:rsidR="002536F6">
              <w:rPr>
                <w:color w:val="000000"/>
                <w:sz w:val="22"/>
                <w:szCs w:val="22"/>
              </w:rPr>
              <w:t>9</w:t>
            </w:r>
            <w:r>
              <w:rPr>
                <w:color w:val="000000"/>
                <w:sz w:val="22"/>
                <w:szCs w:val="22"/>
              </w:rPr>
              <w:t>)</w:t>
            </w:r>
          </w:p>
        </w:tc>
        <w:tc>
          <w:tcPr>
            <w:tcW w:w="368"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4" w:type="dxa"/>
            <w:gridSpan w:val="2"/>
            <w:tcBorders>
              <w:top w:val="nil"/>
              <w:left w:val="nil"/>
              <w:bottom w:val="single" w:sz="4" w:space="0" w:color="auto"/>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(0.1</w:t>
            </w:r>
            <w:r w:rsidR="00BC4246">
              <w:rPr>
                <w:color w:val="000000"/>
                <w:sz w:val="22"/>
                <w:szCs w:val="22"/>
              </w:rPr>
              <w:t>81)</w:t>
            </w:r>
          </w:p>
        </w:tc>
        <w:tc>
          <w:tcPr>
            <w:tcW w:w="546" w:type="dxa"/>
            <w:gridSpan w:val="2"/>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r>
      <w:tr w:rsidR="000F4F52" w:rsidTr="002D3324">
        <w:trPr>
          <w:trHeight w:val="135"/>
        </w:trPr>
        <w:tc>
          <w:tcPr>
            <w:tcW w:w="3251"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6"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397"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080"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546"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127"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634"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49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36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gridSpan w:val="2"/>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546" w:type="dxa"/>
            <w:gridSpan w:val="2"/>
            <w:tcBorders>
              <w:top w:val="nil"/>
              <w:left w:val="nil"/>
              <w:bottom w:val="nil"/>
              <w:right w:val="nil"/>
            </w:tcBorders>
            <w:shd w:val="clear" w:color="auto" w:fill="auto"/>
            <w:noWrap/>
            <w:vAlign w:val="bottom"/>
            <w:hideMark/>
          </w:tcPr>
          <w:p w:rsidR="000F4F52" w:rsidRDefault="000F4F52">
            <w:pPr>
              <w:rPr>
                <w:color w:val="000000"/>
                <w:sz w:val="22"/>
                <w:szCs w:val="22"/>
              </w:rPr>
            </w:pPr>
          </w:p>
        </w:tc>
      </w:tr>
      <w:tr w:rsidR="000F4F52" w:rsidTr="002D3324">
        <w:trPr>
          <w:trHeight w:val="348"/>
        </w:trPr>
        <w:tc>
          <w:tcPr>
            <w:tcW w:w="3251"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R</w:t>
            </w:r>
            <w:r>
              <w:rPr>
                <w:color w:val="000000"/>
                <w:sz w:val="22"/>
                <w:szCs w:val="22"/>
                <w:vertAlign w:val="superscript"/>
              </w:rPr>
              <w:t>2</w:t>
            </w:r>
          </w:p>
        </w:tc>
        <w:tc>
          <w:tcPr>
            <w:tcW w:w="986" w:type="dxa"/>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0.41</w:t>
            </w:r>
            <w:r w:rsidR="00BC4246">
              <w:rPr>
                <w:color w:val="000000"/>
                <w:sz w:val="22"/>
                <w:szCs w:val="22"/>
              </w:rPr>
              <w:t>6</w:t>
            </w:r>
          </w:p>
        </w:tc>
        <w:tc>
          <w:tcPr>
            <w:tcW w:w="397" w:type="dxa"/>
            <w:tcBorders>
              <w:top w:val="nil"/>
              <w:left w:val="nil"/>
              <w:bottom w:val="nil"/>
              <w:right w:val="nil"/>
            </w:tcBorders>
            <w:shd w:val="clear" w:color="auto" w:fill="auto"/>
            <w:noWrap/>
            <w:vAlign w:val="bottom"/>
            <w:hideMark/>
          </w:tcPr>
          <w:p w:rsidR="000F4F52" w:rsidRDefault="000F4F52">
            <w:pPr>
              <w:jc w:val="center"/>
              <w:rPr>
                <w:color w:val="000000"/>
                <w:sz w:val="22"/>
                <w:szCs w:val="22"/>
              </w:rPr>
            </w:pPr>
          </w:p>
        </w:tc>
        <w:tc>
          <w:tcPr>
            <w:tcW w:w="1080"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0.462</w:t>
            </w:r>
          </w:p>
        </w:tc>
        <w:tc>
          <w:tcPr>
            <w:tcW w:w="546" w:type="dxa"/>
            <w:tcBorders>
              <w:top w:val="nil"/>
              <w:left w:val="nil"/>
              <w:bottom w:val="nil"/>
              <w:right w:val="nil"/>
            </w:tcBorders>
            <w:shd w:val="clear" w:color="auto" w:fill="auto"/>
            <w:noWrap/>
            <w:vAlign w:val="bottom"/>
            <w:hideMark/>
          </w:tcPr>
          <w:p w:rsidR="000F4F52" w:rsidRDefault="000F4F52">
            <w:pPr>
              <w:jc w:val="center"/>
              <w:rPr>
                <w:color w:val="000000"/>
                <w:sz w:val="22"/>
                <w:szCs w:val="22"/>
              </w:rPr>
            </w:pPr>
          </w:p>
        </w:tc>
        <w:tc>
          <w:tcPr>
            <w:tcW w:w="1127"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0.206</w:t>
            </w:r>
          </w:p>
        </w:tc>
        <w:tc>
          <w:tcPr>
            <w:tcW w:w="634" w:type="dxa"/>
            <w:tcBorders>
              <w:top w:val="nil"/>
              <w:left w:val="nil"/>
              <w:bottom w:val="nil"/>
              <w:right w:val="nil"/>
            </w:tcBorders>
            <w:shd w:val="clear" w:color="auto" w:fill="auto"/>
            <w:noWrap/>
            <w:vAlign w:val="bottom"/>
            <w:hideMark/>
          </w:tcPr>
          <w:p w:rsidR="000F4F52" w:rsidRDefault="000F4F52">
            <w:pPr>
              <w:jc w:val="cente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0.233</w:t>
            </w:r>
          </w:p>
        </w:tc>
        <w:tc>
          <w:tcPr>
            <w:tcW w:w="498" w:type="dxa"/>
            <w:tcBorders>
              <w:top w:val="nil"/>
              <w:left w:val="nil"/>
              <w:bottom w:val="nil"/>
              <w:right w:val="nil"/>
            </w:tcBorders>
            <w:shd w:val="clear" w:color="auto" w:fill="auto"/>
            <w:noWrap/>
            <w:vAlign w:val="bottom"/>
            <w:hideMark/>
          </w:tcPr>
          <w:p w:rsidR="000F4F52" w:rsidRDefault="000F4F52">
            <w:pPr>
              <w:jc w:val="cente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0.21</w:t>
            </w:r>
            <w:r w:rsidR="002536F6">
              <w:rPr>
                <w:color w:val="000000"/>
                <w:sz w:val="22"/>
                <w:szCs w:val="22"/>
              </w:rPr>
              <w:t>2</w:t>
            </w:r>
          </w:p>
        </w:tc>
        <w:tc>
          <w:tcPr>
            <w:tcW w:w="368" w:type="dxa"/>
            <w:tcBorders>
              <w:top w:val="nil"/>
              <w:left w:val="nil"/>
              <w:bottom w:val="nil"/>
              <w:right w:val="nil"/>
            </w:tcBorders>
            <w:shd w:val="clear" w:color="auto" w:fill="auto"/>
            <w:noWrap/>
            <w:vAlign w:val="bottom"/>
            <w:hideMark/>
          </w:tcPr>
          <w:p w:rsidR="000F4F52" w:rsidRDefault="000F4F52">
            <w:pPr>
              <w:jc w:val="center"/>
              <w:rPr>
                <w:color w:val="000000"/>
                <w:sz w:val="22"/>
                <w:szCs w:val="22"/>
              </w:rPr>
            </w:pPr>
          </w:p>
        </w:tc>
        <w:tc>
          <w:tcPr>
            <w:tcW w:w="984" w:type="dxa"/>
            <w:gridSpan w:val="2"/>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0.449</w:t>
            </w:r>
          </w:p>
        </w:tc>
        <w:tc>
          <w:tcPr>
            <w:tcW w:w="546" w:type="dxa"/>
            <w:gridSpan w:val="2"/>
            <w:tcBorders>
              <w:top w:val="nil"/>
              <w:left w:val="nil"/>
              <w:bottom w:val="nil"/>
              <w:right w:val="nil"/>
            </w:tcBorders>
            <w:shd w:val="clear" w:color="auto" w:fill="auto"/>
            <w:noWrap/>
            <w:vAlign w:val="bottom"/>
            <w:hideMark/>
          </w:tcPr>
          <w:p w:rsidR="000F4F52" w:rsidRDefault="000F4F52">
            <w:pPr>
              <w:jc w:val="center"/>
              <w:rPr>
                <w:color w:val="000000"/>
                <w:sz w:val="22"/>
                <w:szCs w:val="22"/>
              </w:rPr>
            </w:pPr>
          </w:p>
        </w:tc>
      </w:tr>
      <w:tr w:rsidR="000F4F52" w:rsidTr="002D3324">
        <w:trPr>
          <w:trHeight w:val="288"/>
        </w:trPr>
        <w:tc>
          <w:tcPr>
            <w:tcW w:w="3251" w:type="dxa"/>
            <w:tcBorders>
              <w:top w:val="nil"/>
              <w:left w:val="nil"/>
              <w:right w:val="nil"/>
            </w:tcBorders>
            <w:shd w:val="clear" w:color="auto" w:fill="auto"/>
            <w:noWrap/>
            <w:vAlign w:val="bottom"/>
            <w:hideMark/>
          </w:tcPr>
          <w:p w:rsidR="000F4F52" w:rsidRDefault="000F4F52">
            <w:pPr>
              <w:rPr>
                <w:color w:val="000000"/>
                <w:sz w:val="22"/>
                <w:szCs w:val="22"/>
              </w:rPr>
            </w:pPr>
            <w:r>
              <w:rPr>
                <w:color w:val="000000"/>
                <w:sz w:val="22"/>
                <w:szCs w:val="22"/>
              </w:rPr>
              <w:t>Number of Observations</w:t>
            </w:r>
          </w:p>
        </w:tc>
        <w:tc>
          <w:tcPr>
            <w:tcW w:w="986" w:type="dxa"/>
            <w:tcBorders>
              <w:top w:val="nil"/>
              <w:left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755</w:t>
            </w:r>
          </w:p>
        </w:tc>
        <w:tc>
          <w:tcPr>
            <w:tcW w:w="397" w:type="dxa"/>
            <w:tcBorders>
              <w:top w:val="nil"/>
              <w:left w:val="nil"/>
              <w:right w:val="nil"/>
            </w:tcBorders>
            <w:shd w:val="clear" w:color="auto" w:fill="auto"/>
            <w:noWrap/>
            <w:vAlign w:val="bottom"/>
            <w:hideMark/>
          </w:tcPr>
          <w:p w:rsidR="000F4F52" w:rsidRDefault="000F4F52">
            <w:pPr>
              <w:jc w:val="center"/>
              <w:rPr>
                <w:color w:val="000000"/>
                <w:sz w:val="22"/>
                <w:szCs w:val="22"/>
              </w:rPr>
            </w:pPr>
            <w:r>
              <w:rPr>
                <w:color w:val="000000"/>
                <w:sz w:val="22"/>
                <w:szCs w:val="22"/>
              </w:rPr>
              <w:t> </w:t>
            </w:r>
          </w:p>
        </w:tc>
        <w:tc>
          <w:tcPr>
            <w:tcW w:w="1080" w:type="dxa"/>
            <w:tcBorders>
              <w:top w:val="nil"/>
              <w:left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755</w:t>
            </w:r>
          </w:p>
        </w:tc>
        <w:tc>
          <w:tcPr>
            <w:tcW w:w="546" w:type="dxa"/>
            <w:tcBorders>
              <w:top w:val="nil"/>
              <w:left w:val="nil"/>
              <w:right w:val="nil"/>
            </w:tcBorders>
            <w:shd w:val="clear" w:color="auto" w:fill="auto"/>
            <w:noWrap/>
            <w:vAlign w:val="bottom"/>
            <w:hideMark/>
          </w:tcPr>
          <w:p w:rsidR="000F4F52" w:rsidRDefault="000F4F52">
            <w:pPr>
              <w:jc w:val="center"/>
              <w:rPr>
                <w:color w:val="000000"/>
                <w:sz w:val="22"/>
                <w:szCs w:val="22"/>
              </w:rPr>
            </w:pPr>
            <w:r>
              <w:rPr>
                <w:color w:val="000000"/>
                <w:sz w:val="22"/>
                <w:szCs w:val="22"/>
              </w:rPr>
              <w:t> </w:t>
            </w:r>
          </w:p>
        </w:tc>
        <w:tc>
          <w:tcPr>
            <w:tcW w:w="1127" w:type="dxa"/>
            <w:tcBorders>
              <w:top w:val="nil"/>
              <w:left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755</w:t>
            </w:r>
          </w:p>
        </w:tc>
        <w:tc>
          <w:tcPr>
            <w:tcW w:w="634" w:type="dxa"/>
            <w:tcBorders>
              <w:top w:val="nil"/>
              <w:left w:val="nil"/>
              <w:right w:val="nil"/>
            </w:tcBorders>
            <w:shd w:val="clear" w:color="auto" w:fill="auto"/>
            <w:noWrap/>
            <w:vAlign w:val="bottom"/>
            <w:hideMark/>
          </w:tcPr>
          <w:p w:rsidR="000F4F52" w:rsidRDefault="000F4F52">
            <w:pPr>
              <w:jc w:val="center"/>
              <w:rPr>
                <w:color w:val="000000"/>
                <w:sz w:val="22"/>
                <w:szCs w:val="22"/>
              </w:rPr>
            </w:pPr>
            <w:r>
              <w:rPr>
                <w:color w:val="000000"/>
                <w:sz w:val="22"/>
                <w:szCs w:val="22"/>
              </w:rPr>
              <w:t> </w:t>
            </w:r>
          </w:p>
        </w:tc>
        <w:tc>
          <w:tcPr>
            <w:tcW w:w="984" w:type="dxa"/>
            <w:tcBorders>
              <w:top w:val="nil"/>
              <w:left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755</w:t>
            </w:r>
          </w:p>
        </w:tc>
        <w:tc>
          <w:tcPr>
            <w:tcW w:w="498" w:type="dxa"/>
            <w:tcBorders>
              <w:top w:val="nil"/>
              <w:left w:val="nil"/>
              <w:right w:val="nil"/>
            </w:tcBorders>
            <w:shd w:val="clear" w:color="auto" w:fill="auto"/>
            <w:noWrap/>
            <w:vAlign w:val="bottom"/>
            <w:hideMark/>
          </w:tcPr>
          <w:p w:rsidR="000F4F52" w:rsidRDefault="000F4F52">
            <w:pPr>
              <w:jc w:val="center"/>
              <w:rPr>
                <w:color w:val="000000"/>
                <w:sz w:val="22"/>
                <w:szCs w:val="22"/>
              </w:rPr>
            </w:pPr>
            <w:r>
              <w:rPr>
                <w:color w:val="000000"/>
                <w:sz w:val="22"/>
                <w:szCs w:val="22"/>
              </w:rPr>
              <w:t> </w:t>
            </w:r>
          </w:p>
        </w:tc>
        <w:tc>
          <w:tcPr>
            <w:tcW w:w="984" w:type="dxa"/>
            <w:tcBorders>
              <w:top w:val="nil"/>
              <w:left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755</w:t>
            </w:r>
          </w:p>
        </w:tc>
        <w:tc>
          <w:tcPr>
            <w:tcW w:w="368" w:type="dxa"/>
            <w:tcBorders>
              <w:top w:val="nil"/>
              <w:left w:val="nil"/>
              <w:right w:val="nil"/>
            </w:tcBorders>
            <w:shd w:val="clear" w:color="auto" w:fill="auto"/>
            <w:noWrap/>
            <w:vAlign w:val="bottom"/>
            <w:hideMark/>
          </w:tcPr>
          <w:p w:rsidR="000F4F52" w:rsidRDefault="000F4F52">
            <w:pPr>
              <w:jc w:val="center"/>
              <w:rPr>
                <w:color w:val="000000"/>
                <w:sz w:val="22"/>
                <w:szCs w:val="22"/>
              </w:rPr>
            </w:pPr>
            <w:r>
              <w:rPr>
                <w:color w:val="000000"/>
                <w:sz w:val="22"/>
                <w:szCs w:val="22"/>
              </w:rPr>
              <w:t> </w:t>
            </w:r>
          </w:p>
        </w:tc>
        <w:tc>
          <w:tcPr>
            <w:tcW w:w="984" w:type="dxa"/>
            <w:gridSpan w:val="2"/>
            <w:tcBorders>
              <w:top w:val="nil"/>
              <w:left w:val="nil"/>
              <w:right w:val="nil"/>
            </w:tcBorders>
            <w:shd w:val="clear" w:color="auto" w:fill="auto"/>
            <w:noWrap/>
            <w:vAlign w:val="bottom"/>
            <w:hideMark/>
          </w:tcPr>
          <w:p w:rsidR="000F4F52" w:rsidRDefault="000F4F52" w:rsidP="00226F30">
            <w:pPr>
              <w:jc w:val="right"/>
              <w:rPr>
                <w:color w:val="000000"/>
                <w:sz w:val="22"/>
                <w:szCs w:val="22"/>
              </w:rPr>
            </w:pPr>
            <w:r>
              <w:rPr>
                <w:color w:val="000000"/>
                <w:sz w:val="22"/>
                <w:szCs w:val="22"/>
              </w:rPr>
              <w:t>755</w:t>
            </w:r>
          </w:p>
        </w:tc>
        <w:tc>
          <w:tcPr>
            <w:tcW w:w="546" w:type="dxa"/>
            <w:gridSpan w:val="2"/>
            <w:tcBorders>
              <w:top w:val="nil"/>
              <w:left w:val="nil"/>
              <w:right w:val="nil"/>
            </w:tcBorders>
            <w:shd w:val="clear" w:color="auto" w:fill="auto"/>
            <w:noWrap/>
            <w:vAlign w:val="bottom"/>
            <w:hideMark/>
          </w:tcPr>
          <w:p w:rsidR="000F4F52" w:rsidRDefault="000F4F52">
            <w:pPr>
              <w:jc w:val="center"/>
              <w:rPr>
                <w:color w:val="000000"/>
                <w:sz w:val="22"/>
                <w:szCs w:val="22"/>
              </w:rPr>
            </w:pPr>
            <w:r>
              <w:rPr>
                <w:color w:val="000000"/>
                <w:sz w:val="22"/>
                <w:szCs w:val="22"/>
              </w:rPr>
              <w:t> </w:t>
            </w:r>
          </w:p>
        </w:tc>
      </w:tr>
      <w:tr w:rsidR="000F4F52" w:rsidTr="002D3324">
        <w:trPr>
          <w:trHeight w:val="288"/>
        </w:trPr>
        <w:tc>
          <w:tcPr>
            <w:tcW w:w="3251"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6"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397"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080"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546"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127"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634"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49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36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gridSpan w:val="2"/>
            <w:tcBorders>
              <w:top w:val="nil"/>
              <w:left w:val="nil"/>
              <w:bottom w:val="nil"/>
              <w:right w:val="nil"/>
            </w:tcBorders>
            <w:shd w:val="clear" w:color="auto" w:fill="auto"/>
            <w:noWrap/>
            <w:vAlign w:val="bottom"/>
            <w:hideMark/>
          </w:tcPr>
          <w:p w:rsidR="000F4F52" w:rsidRDefault="000F4F52" w:rsidP="00226F30">
            <w:pPr>
              <w:jc w:val="right"/>
              <w:rPr>
                <w:color w:val="000000"/>
                <w:sz w:val="22"/>
                <w:szCs w:val="22"/>
              </w:rPr>
            </w:pPr>
          </w:p>
        </w:tc>
        <w:tc>
          <w:tcPr>
            <w:tcW w:w="546" w:type="dxa"/>
            <w:gridSpan w:val="2"/>
            <w:tcBorders>
              <w:top w:val="nil"/>
              <w:left w:val="nil"/>
              <w:bottom w:val="nil"/>
              <w:right w:val="nil"/>
            </w:tcBorders>
            <w:shd w:val="clear" w:color="auto" w:fill="auto"/>
            <w:noWrap/>
            <w:vAlign w:val="bottom"/>
            <w:hideMark/>
          </w:tcPr>
          <w:p w:rsidR="000F4F52" w:rsidRDefault="000F4F52">
            <w:pPr>
              <w:rPr>
                <w:color w:val="000000"/>
                <w:sz w:val="22"/>
                <w:szCs w:val="22"/>
              </w:rPr>
            </w:pPr>
          </w:p>
        </w:tc>
      </w:tr>
      <w:tr w:rsidR="000F4F52" w:rsidTr="002D3324">
        <w:trPr>
          <w:trHeight w:val="288"/>
        </w:trPr>
        <w:tc>
          <w:tcPr>
            <w:tcW w:w="3251" w:type="dxa"/>
            <w:tcBorders>
              <w:top w:val="nil"/>
              <w:left w:val="nil"/>
              <w:bottom w:val="nil"/>
              <w:right w:val="nil"/>
            </w:tcBorders>
            <w:shd w:val="clear" w:color="auto" w:fill="auto"/>
            <w:noWrap/>
            <w:vAlign w:val="bottom"/>
            <w:hideMark/>
          </w:tcPr>
          <w:p w:rsidR="000F4F52" w:rsidRDefault="000F4F52">
            <w:pPr>
              <w:rPr>
                <w:color w:val="000000"/>
                <w:sz w:val="22"/>
                <w:szCs w:val="22"/>
              </w:rPr>
            </w:pPr>
            <w:r>
              <w:rPr>
                <w:color w:val="000000"/>
                <w:sz w:val="22"/>
                <w:szCs w:val="22"/>
              </w:rPr>
              <w:t>Hansen J statistic (</w:t>
            </w:r>
            <w:proofErr w:type="spellStart"/>
            <w:r>
              <w:rPr>
                <w:color w:val="000000"/>
                <w:sz w:val="22"/>
                <w:szCs w:val="22"/>
              </w:rPr>
              <w:t>overidentification</w:t>
            </w:r>
            <w:proofErr w:type="spellEnd"/>
            <w:r>
              <w:rPr>
                <w:color w:val="000000"/>
                <w:sz w:val="22"/>
                <w:szCs w:val="22"/>
              </w:rPr>
              <w:t xml:space="preserve"> test)</w:t>
            </w:r>
          </w:p>
        </w:tc>
        <w:tc>
          <w:tcPr>
            <w:tcW w:w="986" w:type="dxa"/>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0.</w:t>
            </w:r>
            <w:r w:rsidR="00BC4246">
              <w:rPr>
                <w:color w:val="000000"/>
                <w:sz w:val="22"/>
                <w:szCs w:val="22"/>
              </w:rPr>
              <w:t>310</w:t>
            </w:r>
          </w:p>
        </w:tc>
        <w:tc>
          <w:tcPr>
            <w:tcW w:w="397"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080" w:type="dxa"/>
            <w:tcBorders>
              <w:top w:val="nil"/>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2.</w:t>
            </w:r>
            <w:r w:rsidR="002536F6">
              <w:rPr>
                <w:color w:val="000000"/>
                <w:sz w:val="22"/>
                <w:szCs w:val="22"/>
              </w:rPr>
              <w:t>177</w:t>
            </w:r>
          </w:p>
        </w:tc>
        <w:tc>
          <w:tcPr>
            <w:tcW w:w="546"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1127" w:type="dxa"/>
            <w:tcBorders>
              <w:top w:val="nil"/>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4.</w:t>
            </w:r>
            <w:r w:rsidR="00974E2E">
              <w:rPr>
                <w:color w:val="000000"/>
                <w:sz w:val="22"/>
                <w:szCs w:val="22"/>
              </w:rPr>
              <w:t>893</w:t>
            </w:r>
          </w:p>
        </w:tc>
        <w:tc>
          <w:tcPr>
            <w:tcW w:w="634"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974E2E">
            <w:pPr>
              <w:jc w:val="right"/>
              <w:rPr>
                <w:color w:val="000000"/>
                <w:sz w:val="22"/>
                <w:szCs w:val="22"/>
              </w:rPr>
            </w:pPr>
            <w:r>
              <w:rPr>
                <w:color w:val="000000"/>
                <w:sz w:val="22"/>
                <w:szCs w:val="22"/>
              </w:rPr>
              <w:t>3.</w:t>
            </w:r>
            <w:r w:rsidR="00974E2E">
              <w:rPr>
                <w:color w:val="000000"/>
                <w:sz w:val="22"/>
                <w:szCs w:val="22"/>
              </w:rPr>
              <w:t>272</w:t>
            </w:r>
          </w:p>
        </w:tc>
        <w:tc>
          <w:tcPr>
            <w:tcW w:w="49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tcBorders>
              <w:top w:val="nil"/>
              <w:left w:val="nil"/>
              <w:bottom w:val="nil"/>
              <w:right w:val="nil"/>
            </w:tcBorders>
            <w:shd w:val="clear" w:color="auto" w:fill="auto"/>
            <w:noWrap/>
            <w:vAlign w:val="bottom"/>
            <w:hideMark/>
          </w:tcPr>
          <w:p w:rsidR="000F4F52" w:rsidRDefault="000F4F52" w:rsidP="002536F6">
            <w:pPr>
              <w:jc w:val="right"/>
              <w:rPr>
                <w:color w:val="000000"/>
                <w:sz w:val="22"/>
                <w:szCs w:val="22"/>
              </w:rPr>
            </w:pPr>
            <w:r>
              <w:rPr>
                <w:color w:val="000000"/>
                <w:sz w:val="22"/>
                <w:szCs w:val="22"/>
              </w:rPr>
              <w:t>2.</w:t>
            </w:r>
            <w:r w:rsidR="002536F6">
              <w:rPr>
                <w:color w:val="000000"/>
                <w:sz w:val="22"/>
                <w:szCs w:val="22"/>
              </w:rPr>
              <w:t>507</w:t>
            </w:r>
          </w:p>
        </w:tc>
        <w:tc>
          <w:tcPr>
            <w:tcW w:w="368" w:type="dxa"/>
            <w:tcBorders>
              <w:top w:val="nil"/>
              <w:left w:val="nil"/>
              <w:bottom w:val="nil"/>
              <w:right w:val="nil"/>
            </w:tcBorders>
            <w:shd w:val="clear" w:color="auto" w:fill="auto"/>
            <w:noWrap/>
            <w:vAlign w:val="bottom"/>
            <w:hideMark/>
          </w:tcPr>
          <w:p w:rsidR="000F4F52" w:rsidRDefault="000F4F52">
            <w:pPr>
              <w:rPr>
                <w:color w:val="000000"/>
                <w:sz w:val="22"/>
                <w:szCs w:val="22"/>
              </w:rPr>
            </w:pPr>
          </w:p>
        </w:tc>
        <w:tc>
          <w:tcPr>
            <w:tcW w:w="984" w:type="dxa"/>
            <w:gridSpan w:val="2"/>
            <w:tcBorders>
              <w:top w:val="nil"/>
              <w:left w:val="nil"/>
              <w:bottom w:val="nil"/>
              <w:right w:val="nil"/>
            </w:tcBorders>
            <w:shd w:val="clear" w:color="auto" w:fill="auto"/>
            <w:noWrap/>
            <w:vAlign w:val="bottom"/>
            <w:hideMark/>
          </w:tcPr>
          <w:p w:rsidR="000F4F52" w:rsidRDefault="000F4F52" w:rsidP="00BC4246">
            <w:pPr>
              <w:jc w:val="right"/>
              <w:rPr>
                <w:color w:val="000000"/>
                <w:sz w:val="22"/>
                <w:szCs w:val="22"/>
              </w:rPr>
            </w:pPr>
            <w:r>
              <w:rPr>
                <w:color w:val="000000"/>
                <w:sz w:val="22"/>
                <w:szCs w:val="22"/>
              </w:rPr>
              <w:t>0.8</w:t>
            </w:r>
            <w:r w:rsidR="00BC4246">
              <w:rPr>
                <w:color w:val="000000"/>
                <w:sz w:val="22"/>
                <w:szCs w:val="22"/>
              </w:rPr>
              <w:t>9</w:t>
            </w:r>
            <w:r>
              <w:rPr>
                <w:color w:val="000000"/>
                <w:sz w:val="22"/>
                <w:szCs w:val="22"/>
              </w:rPr>
              <w:t>8</w:t>
            </w:r>
          </w:p>
        </w:tc>
        <w:tc>
          <w:tcPr>
            <w:tcW w:w="546" w:type="dxa"/>
            <w:gridSpan w:val="2"/>
            <w:tcBorders>
              <w:top w:val="nil"/>
              <w:left w:val="nil"/>
              <w:bottom w:val="nil"/>
              <w:right w:val="nil"/>
            </w:tcBorders>
            <w:shd w:val="clear" w:color="auto" w:fill="auto"/>
            <w:noWrap/>
            <w:vAlign w:val="bottom"/>
            <w:hideMark/>
          </w:tcPr>
          <w:p w:rsidR="000F4F52" w:rsidRDefault="000F4F52">
            <w:pPr>
              <w:rPr>
                <w:color w:val="000000"/>
                <w:sz w:val="22"/>
                <w:szCs w:val="22"/>
              </w:rPr>
            </w:pPr>
          </w:p>
        </w:tc>
      </w:tr>
      <w:tr w:rsidR="000F4F52" w:rsidTr="002D3324">
        <w:trPr>
          <w:trHeight w:val="288"/>
        </w:trPr>
        <w:tc>
          <w:tcPr>
            <w:tcW w:w="3251"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6"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397"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1080"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546"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1127"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634"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4"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498"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4"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368" w:type="dxa"/>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984" w:type="dxa"/>
            <w:gridSpan w:val="2"/>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c>
          <w:tcPr>
            <w:tcW w:w="546" w:type="dxa"/>
            <w:gridSpan w:val="2"/>
            <w:tcBorders>
              <w:top w:val="nil"/>
              <w:left w:val="nil"/>
              <w:bottom w:val="single" w:sz="4" w:space="0" w:color="auto"/>
              <w:right w:val="nil"/>
            </w:tcBorders>
            <w:shd w:val="clear" w:color="auto" w:fill="auto"/>
            <w:noWrap/>
            <w:vAlign w:val="bottom"/>
            <w:hideMark/>
          </w:tcPr>
          <w:p w:rsidR="000F4F52" w:rsidRDefault="000F4F52">
            <w:pPr>
              <w:rPr>
                <w:color w:val="000000"/>
                <w:sz w:val="22"/>
                <w:szCs w:val="22"/>
              </w:rPr>
            </w:pPr>
            <w:r>
              <w:rPr>
                <w:color w:val="000000"/>
                <w:sz w:val="22"/>
                <w:szCs w:val="22"/>
              </w:rPr>
              <w:t> </w:t>
            </w:r>
          </w:p>
        </w:tc>
      </w:tr>
      <w:tr w:rsidR="000F4F52" w:rsidTr="002D3324">
        <w:trPr>
          <w:gridAfter w:val="1"/>
          <w:wAfter w:w="48" w:type="dxa"/>
          <w:trHeight w:val="288"/>
        </w:trPr>
        <w:tc>
          <w:tcPr>
            <w:tcW w:w="12337" w:type="dxa"/>
            <w:gridSpan w:val="14"/>
            <w:tcBorders>
              <w:top w:val="nil"/>
              <w:left w:val="nil"/>
              <w:bottom w:val="nil"/>
              <w:right w:val="nil"/>
            </w:tcBorders>
            <w:shd w:val="clear" w:color="auto" w:fill="auto"/>
            <w:noWrap/>
            <w:vAlign w:val="bottom"/>
            <w:hideMark/>
          </w:tcPr>
          <w:p w:rsidR="000F4F52" w:rsidRDefault="00C746ED" w:rsidP="00C746ED">
            <w:pPr>
              <w:rPr>
                <w:rFonts w:ascii="Calibri" w:hAnsi="Calibri"/>
                <w:color w:val="000000"/>
                <w:sz w:val="22"/>
                <w:szCs w:val="22"/>
              </w:rPr>
            </w:pPr>
            <w:r>
              <w:rPr>
                <w:color w:val="000000"/>
                <w:sz w:val="22"/>
                <w:szCs w:val="22"/>
              </w:rPr>
              <w:t>Note:  Robust s</w:t>
            </w:r>
            <w:r w:rsidR="000F4F52">
              <w:rPr>
                <w:color w:val="000000"/>
                <w:sz w:val="22"/>
                <w:szCs w:val="22"/>
              </w:rPr>
              <w:t xml:space="preserve">tandard </w:t>
            </w:r>
            <w:r>
              <w:rPr>
                <w:color w:val="000000"/>
                <w:sz w:val="22"/>
                <w:szCs w:val="22"/>
              </w:rPr>
              <w:t>e</w:t>
            </w:r>
            <w:r w:rsidR="000F4F52">
              <w:rPr>
                <w:color w:val="000000"/>
                <w:sz w:val="22"/>
                <w:szCs w:val="22"/>
              </w:rPr>
              <w:t>rrors in parenthesis</w:t>
            </w:r>
            <w:r w:rsidR="002536F6">
              <w:rPr>
                <w:color w:val="000000"/>
                <w:sz w:val="22"/>
                <w:szCs w:val="22"/>
              </w:rPr>
              <w:t>. R</w:t>
            </w:r>
            <w:r w:rsidR="000F4F52">
              <w:rPr>
                <w:color w:val="000000"/>
                <w:sz w:val="22"/>
                <w:szCs w:val="22"/>
              </w:rPr>
              <w:t>egressions are estimated with insurance controls, state controls, and year fixed effects.</w:t>
            </w:r>
          </w:p>
        </w:tc>
      </w:tr>
      <w:tr w:rsidR="002D3324" w:rsidTr="000670D6">
        <w:trPr>
          <w:trHeight w:val="288"/>
        </w:trPr>
        <w:tc>
          <w:tcPr>
            <w:tcW w:w="5714" w:type="dxa"/>
            <w:gridSpan w:val="4"/>
            <w:vMerge w:val="restart"/>
            <w:tcBorders>
              <w:top w:val="nil"/>
              <w:left w:val="nil"/>
              <w:right w:val="nil"/>
            </w:tcBorders>
            <w:shd w:val="clear" w:color="auto" w:fill="auto"/>
            <w:noWrap/>
            <w:vAlign w:val="bottom"/>
            <w:hideMark/>
          </w:tcPr>
          <w:p w:rsidR="002D3324" w:rsidRDefault="002D3324">
            <w:pPr>
              <w:rPr>
                <w:color w:val="000000"/>
                <w:sz w:val="22"/>
                <w:szCs w:val="22"/>
              </w:rPr>
            </w:pPr>
            <w:r>
              <w:rPr>
                <w:color w:val="000000"/>
                <w:sz w:val="22"/>
                <w:szCs w:val="22"/>
              </w:rPr>
              <w:t>* denotes significance at the .10 level</w:t>
            </w:r>
          </w:p>
          <w:p w:rsidR="002D3324" w:rsidRDefault="002D3324">
            <w:pPr>
              <w:rPr>
                <w:color w:val="000000"/>
                <w:sz w:val="22"/>
                <w:szCs w:val="22"/>
              </w:rPr>
            </w:pPr>
            <w:r>
              <w:rPr>
                <w:color w:val="000000"/>
                <w:sz w:val="22"/>
                <w:szCs w:val="22"/>
              </w:rPr>
              <w:t>** denotes significance at the .05 level</w:t>
            </w:r>
          </w:p>
          <w:p w:rsidR="002D3324" w:rsidRDefault="002D3324" w:rsidP="000670D6">
            <w:pPr>
              <w:rPr>
                <w:rFonts w:ascii="Calibri" w:hAnsi="Calibri"/>
                <w:color w:val="000000"/>
                <w:sz w:val="22"/>
                <w:szCs w:val="22"/>
              </w:rPr>
            </w:pPr>
            <w:r>
              <w:rPr>
                <w:color w:val="000000"/>
                <w:sz w:val="22"/>
                <w:szCs w:val="22"/>
              </w:rPr>
              <w:t>*** denotes significance at the .01 level</w:t>
            </w:r>
          </w:p>
        </w:tc>
        <w:tc>
          <w:tcPr>
            <w:tcW w:w="546"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63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498"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368"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gridSpan w:val="2"/>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546" w:type="dxa"/>
            <w:gridSpan w:val="2"/>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r>
      <w:tr w:rsidR="002D3324" w:rsidTr="000670D6">
        <w:trPr>
          <w:trHeight w:val="288"/>
        </w:trPr>
        <w:tc>
          <w:tcPr>
            <w:tcW w:w="5714" w:type="dxa"/>
            <w:gridSpan w:val="4"/>
            <w:vMerge/>
            <w:tcBorders>
              <w:left w:val="nil"/>
              <w:right w:val="nil"/>
            </w:tcBorders>
            <w:shd w:val="clear" w:color="auto" w:fill="auto"/>
            <w:noWrap/>
            <w:vAlign w:val="bottom"/>
            <w:hideMark/>
          </w:tcPr>
          <w:p w:rsidR="002D3324" w:rsidRDefault="002D3324" w:rsidP="000670D6">
            <w:pPr>
              <w:rPr>
                <w:rFonts w:ascii="Calibri" w:hAnsi="Calibri"/>
                <w:color w:val="000000"/>
                <w:sz w:val="22"/>
                <w:szCs w:val="22"/>
              </w:rPr>
            </w:pPr>
          </w:p>
        </w:tc>
        <w:tc>
          <w:tcPr>
            <w:tcW w:w="546"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63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498"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368"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gridSpan w:val="2"/>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546" w:type="dxa"/>
            <w:gridSpan w:val="2"/>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r>
      <w:tr w:rsidR="002D3324" w:rsidTr="000670D6">
        <w:trPr>
          <w:trHeight w:val="288"/>
        </w:trPr>
        <w:tc>
          <w:tcPr>
            <w:tcW w:w="5714" w:type="dxa"/>
            <w:gridSpan w:val="4"/>
            <w:vMerge/>
            <w:tcBorders>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546"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1127"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63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498"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368" w:type="dxa"/>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984" w:type="dxa"/>
            <w:gridSpan w:val="2"/>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c>
          <w:tcPr>
            <w:tcW w:w="546" w:type="dxa"/>
            <w:gridSpan w:val="2"/>
            <w:tcBorders>
              <w:top w:val="nil"/>
              <w:left w:val="nil"/>
              <w:bottom w:val="nil"/>
              <w:right w:val="nil"/>
            </w:tcBorders>
            <w:shd w:val="clear" w:color="auto" w:fill="auto"/>
            <w:noWrap/>
            <w:vAlign w:val="bottom"/>
            <w:hideMark/>
          </w:tcPr>
          <w:p w:rsidR="002D3324" w:rsidRDefault="002D3324">
            <w:pPr>
              <w:rPr>
                <w:rFonts w:ascii="Calibri" w:hAnsi="Calibri"/>
                <w:color w:val="000000"/>
                <w:sz w:val="22"/>
                <w:szCs w:val="22"/>
              </w:rPr>
            </w:pPr>
          </w:p>
        </w:tc>
      </w:tr>
    </w:tbl>
    <w:p w:rsidR="00C17617" w:rsidRDefault="00C17617">
      <w:pPr>
        <w:sectPr w:rsidR="00C17617" w:rsidSect="00BD139B">
          <w:pgSz w:w="15840" w:h="12240" w:orient="landscape"/>
          <w:pgMar w:top="1080" w:right="1440" w:bottom="540" w:left="990" w:header="720" w:footer="720" w:gutter="0"/>
          <w:cols w:space="720"/>
          <w:docGrid w:linePitch="360"/>
        </w:sectPr>
      </w:pPr>
    </w:p>
    <w:tbl>
      <w:tblPr>
        <w:tblpPr w:leftFromText="180" w:rightFromText="180" w:vertAnchor="page" w:horzAnchor="margin" w:tblpY="1273"/>
        <w:tblW w:w="6758" w:type="dxa"/>
        <w:tblCellMar>
          <w:left w:w="14" w:type="dxa"/>
          <w:right w:w="58" w:type="dxa"/>
        </w:tblCellMar>
        <w:tblLook w:val="04A0" w:firstRow="1" w:lastRow="0" w:firstColumn="1" w:lastColumn="0" w:noHBand="0" w:noVBand="1"/>
      </w:tblPr>
      <w:tblGrid>
        <w:gridCol w:w="2810"/>
        <w:gridCol w:w="1348"/>
        <w:gridCol w:w="1874"/>
        <w:gridCol w:w="726"/>
      </w:tblGrid>
      <w:tr w:rsidR="00BD139B" w:rsidTr="003075D5">
        <w:trPr>
          <w:trHeight w:val="216"/>
        </w:trPr>
        <w:tc>
          <w:tcPr>
            <w:tcW w:w="6758" w:type="dxa"/>
            <w:gridSpan w:val="4"/>
            <w:tcBorders>
              <w:top w:val="single" w:sz="4" w:space="0" w:color="auto"/>
            </w:tcBorders>
            <w:shd w:val="clear" w:color="auto" w:fill="auto"/>
            <w:vAlign w:val="bottom"/>
            <w:hideMark/>
          </w:tcPr>
          <w:p w:rsidR="00442A55" w:rsidRDefault="00BD139B" w:rsidP="00442A55">
            <w:pPr>
              <w:rPr>
                <w:b/>
                <w:bCs/>
                <w:color w:val="000000"/>
                <w:sz w:val="22"/>
                <w:szCs w:val="22"/>
              </w:rPr>
            </w:pPr>
            <w:bookmarkStart w:id="6" w:name="RANGE!D4:G48"/>
            <w:r>
              <w:rPr>
                <w:b/>
                <w:bCs/>
                <w:color w:val="000000"/>
                <w:sz w:val="22"/>
                <w:szCs w:val="22"/>
              </w:rPr>
              <w:lastRenderedPageBreak/>
              <w:t xml:space="preserve">Table 6.  2SLS </w:t>
            </w:r>
            <w:r w:rsidR="00D567E8">
              <w:rPr>
                <w:b/>
                <w:bCs/>
                <w:color w:val="000000"/>
                <w:sz w:val="22"/>
                <w:szCs w:val="22"/>
              </w:rPr>
              <w:t xml:space="preserve">Second Stage Panel Instrumental Variables Estimates with </w:t>
            </w:r>
            <w:r w:rsidR="00B2186A">
              <w:rPr>
                <w:b/>
                <w:bCs/>
                <w:color w:val="000000"/>
                <w:sz w:val="22"/>
                <w:szCs w:val="22"/>
              </w:rPr>
              <w:t>Year</w:t>
            </w:r>
            <w:r>
              <w:rPr>
                <w:b/>
                <w:bCs/>
                <w:color w:val="000000"/>
                <w:sz w:val="22"/>
                <w:szCs w:val="22"/>
              </w:rPr>
              <w:t xml:space="preserve"> Fixed Effects</w:t>
            </w:r>
          </w:p>
          <w:p w:rsidR="00BD139B" w:rsidRDefault="00BD139B" w:rsidP="00D567E8">
            <w:pPr>
              <w:rPr>
                <w:b/>
                <w:bCs/>
                <w:color w:val="000000"/>
                <w:sz w:val="22"/>
                <w:szCs w:val="22"/>
              </w:rPr>
            </w:pPr>
            <w:r>
              <w:rPr>
                <w:b/>
                <w:bCs/>
                <w:color w:val="000000"/>
                <w:sz w:val="22"/>
                <w:szCs w:val="22"/>
              </w:rPr>
              <w:t xml:space="preserve">Dependent Variable is Emp.  Foreign Rate is Endogenous </w:t>
            </w:r>
            <w:bookmarkEnd w:id="6"/>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2600" w:type="dxa"/>
            <w:gridSpan w:val="2"/>
            <w:shd w:val="clear" w:color="auto" w:fill="auto"/>
            <w:vAlign w:val="bottom"/>
            <w:hideMark/>
          </w:tcPr>
          <w:p w:rsidR="00BD139B" w:rsidRDefault="00BD139B" w:rsidP="00BD139B">
            <w:pPr>
              <w:jc w:val="center"/>
              <w:rPr>
                <w:color w:val="000000"/>
                <w:sz w:val="22"/>
                <w:szCs w:val="22"/>
              </w:rPr>
            </w:pPr>
          </w:p>
        </w:tc>
      </w:tr>
      <w:tr w:rsidR="00BD139B" w:rsidTr="003075D5">
        <w:trPr>
          <w:trHeight w:val="216"/>
        </w:trPr>
        <w:tc>
          <w:tcPr>
            <w:tcW w:w="4158" w:type="dxa"/>
            <w:gridSpan w:val="2"/>
            <w:tcBorders>
              <w:bottom w:val="single" w:sz="4" w:space="0" w:color="auto"/>
            </w:tcBorders>
            <w:shd w:val="clear" w:color="auto" w:fill="auto"/>
            <w:noWrap/>
            <w:vAlign w:val="bottom"/>
            <w:hideMark/>
          </w:tcPr>
          <w:p w:rsidR="001D6D42" w:rsidRPr="0040446D" w:rsidRDefault="007813AD" w:rsidP="0040446D">
            <w:pPr>
              <w:jc w:val="center"/>
              <w:rPr>
                <w:b/>
                <w:color w:val="000000"/>
                <w:sz w:val="22"/>
                <w:szCs w:val="22"/>
              </w:rPr>
            </w:pPr>
            <w:r w:rsidRPr="0040446D">
              <w:rPr>
                <w:b/>
                <w:color w:val="000000"/>
                <w:sz w:val="22"/>
                <w:szCs w:val="22"/>
              </w:rPr>
              <w:t xml:space="preserve">Variable </w:t>
            </w:r>
          </w:p>
        </w:tc>
        <w:tc>
          <w:tcPr>
            <w:tcW w:w="2600" w:type="dxa"/>
            <w:gridSpan w:val="2"/>
            <w:tcBorders>
              <w:bottom w:val="single" w:sz="4" w:space="0" w:color="auto"/>
            </w:tcBorders>
            <w:shd w:val="clear" w:color="auto" w:fill="auto"/>
            <w:noWrap/>
            <w:vAlign w:val="bottom"/>
            <w:hideMark/>
          </w:tcPr>
          <w:p w:rsidR="00BD139B" w:rsidRPr="00C746ED" w:rsidRDefault="007813AD" w:rsidP="00BD139B">
            <w:pPr>
              <w:jc w:val="center"/>
              <w:rPr>
                <w:b/>
                <w:i/>
                <w:color w:val="000000"/>
                <w:sz w:val="22"/>
                <w:szCs w:val="22"/>
              </w:rPr>
            </w:pPr>
            <w:proofErr w:type="spellStart"/>
            <w:r w:rsidRPr="00C746ED">
              <w:rPr>
                <w:b/>
                <w:i/>
                <w:color w:val="000000"/>
                <w:sz w:val="22"/>
                <w:szCs w:val="22"/>
              </w:rPr>
              <w:t>Emp</w:t>
            </w:r>
            <w:proofErr w:type="spellEnd"/>
          </w:p>
        </w:tc>
      </w:tr>
      <w:tr w:rsidR="00BD139B" w:rsidTr="003075D5">
        <w:trPr>
          <w:trHeight w:val="216"/>
        </w:trPr>
        <w:tc>
          <w:tcPr>
            <w:tcW w:w="4158" w:type="dxa"/>
            <w:gridSpan w:val="2"/>
            <w:tcBorders>
              <w:top w:val="single" w:sz="4" w:space="0" w:color="auto"/>
            </w:tcBorders>
            <w:shd w:val="clear" w:color="auto" w:fill="auto"/>
            <w:noWrap/>
            <w:vAlign w:val="bottom"/>
            <w:hideMark/>
          </w:tcPr>
          <w:p w:rsidR="00BD139B" w:rsidRDefault="00BD139B" w:rsidP="00BD139B">
            <w:pPr>
              <w:jc w:val="center"/>
              <w:rPr>
                <w:i/>
                <w:iCs/>
                <w:color w:val="000000"/>
                <w:sz w:val="22"/>
                <w:szCs w:val="22"/>
              </w:rPr>
            </w:pPr>
            <w:proofErr w:type="spellStart"/>
            <w:r>
              <w:rPr>
                <w:i/>
                <w:iCs/>
                <w:color w:val="000000"/>
                <w:sz w:val="22"/>
                <w:szCs w:val="22"/>
              </w:rPr>
              <w:t>FRate</w:t>
            </w:r>
            <w:proofErr w:type="spellEnd"/>
          </w:p>
        </w:tc>
        <w:tc>
          <w:tcPr>
            <w:tcW w:w="1874" w:type="dxa"/>
            <w:tcBorders>
              <w:top w:val="single" w:sz="4" w:space="0" w:color="auto"/>
            </w:tcBorders>
            <w:shd w:val="clear" w:color="auto" w:fill="auto"/>
            <w:noWrap/>
            <w:vAlign w:val="bottom"/>
          </w:tcPr>
          <w:p w:rsidR="00BD139B" w:rsidRDefault="00BC058F" w:rsidP="00BC058F">
            <w:pPr>
              <w:jc w:val="right"/>
              <w:rPr>
                <w:color w:val="000000"/>
                <w:sz w:val="22"/>
                <w:szCs w:val="22"/>
              </w:rPr>
            </w:pPr>
            <w:r>
              <w:rPr>
                <w:color w:val="000000"/>
                <w:sz w:val="22"/>
                <w:szCs w:val="22"/>
              </w:rPr>
              <w:t>-484.094</w:t>
            </w:r>
          </w:p>
        </w:tc>
        <w:tc>
          <w:tcPr>
            <w:tcW w:w="726" w:type="dxa"/>
            <w:tcBorders>
              <w:top w:val="single" w:sz="4" w:space="0" w:color="auto"/>
            </w:tcBorders>
            <w:shd w:val="clear" w:color="auto" w:fill="auto"/>
            <w:noWrap/>
            <w:vAlign w:val="bottom"/>
            <w:hideMark/>
          </w:tcPr>
          <w:p w:rsidR="00BD139B" w:rsidRDefault="00BD139B" w:rsidP="00BD139B">
            <w:pPr>
              <w:rPr>
                <w:color w:val="000000"/>
                <w:sz w:val="22"/>
                <w:szCs w:val="22"/>
              </w:rPr>
            </w:pPr>
            <w:r>
              <w:rPr>
                <w:color w:val="000000"/>
                <w:sz w:val="22"/>
                <w:szCs w:val="22"/>
              </w:rPr>
              <w:t>***</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BC058F">
              <w:rPr>
                <w:color w:val="000000"/>
                <w:sz w:val="22"/>
                <w:szCs w:val="22"/>
              </w:rPr>
              <w:t>58.717</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proofErr w:type="spellStart"/>
            <w:r>
              <w:rPr>
                <w:i/>
                <w:iCs/>
                <w:color w:val="000000"/>
                <w:sz w:val="22"/>
                <w:szCs w:val="22"/>
              </w:rPr>
              <w:t>DifRate</w:t>
            </w:r>
            <w:proofErr w:type="spellEnd"/>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1</w:t>
            </w:r>
            <w:r w:rsidR="00BC058F">
              <w:rPr>
                <w:color w:val="000000"/>
                <w:sz w:val="22"/>
                <w:szCs w:val="22"/>
              </w:rPr>
              <w:t>37</w:t>
            </w:r>
            <w:r>
              <w:rPr>
                <w:color w:val="000000"/>
                <w:sz w:val="22"/>
                <w:szCs w:val="22"/>
              </w:rPr>
              <w:t>.</w:t>
            </w:r>
            <w:r w:rsidR="00BC058F">
              <w:rPr>
                <w:color w:val="000000"/>
                <w:sz w:val="22"/>
                <w:szCs w:val="22"/>
              </w:rPr>
              <w:t>934</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BC058F">
              <w:rPr>
                <w:color w:val="000000"/>
                <w:sz w:val="22"/>
                <w:szCs w:val="22"/>
              </w:rPr>
              <w:t>16</w:t>
            </w:r>
            <w:r w:rsidR="00657FC8">
              <w:rPr>
                <w:color w:val="000000"/>
                <w:sz w:val="22"/>
                <w:szCs w:val="22"/>
              </w:rPr>
              <w:t>.</w:t>
            </w:r>
            <w:r w:rsidR="00BC058F">
              <w:rPr>
                <w:color w:val="000000"/>
                <w:sz w:val="22"/>
                <w:szCs w:val="22"/>
              </w:rPr>
              <w:t>947</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proofErr w:type="spellStart"/>
            <w:r>
              <w:rPr>
                <w:i/>
                <w:iCs/>
                <w:color w:val="000000"/>
                <w:sz w:val="22"/>
                <w:szCs w:val="22"/>
              </w:rPr>
              <w:t>Reg</w:t>
            </w:r>
            <w:proofErr w:type="spellEnd"/>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-0.</w:t>
            </w:r>
            <w:r w:rsidR="00BC058F">
              <w:rPr>
                <w:color w:val="000000"/>
                <w:sz w:val="22"/>
                <w:szCs w:val="22"/>
              </w:rPr>
              <w:t>0654</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657FC8">
              <w:rPr>
                <w:color w:val="000000"/>
                <w:sz w:val="22"/>
                <w:szCs w:val="22"/>
              </w:rPr>
              <w:t>0.34</w:t>
            </w:r>
            <w:r w:rsidR="00BC058F">
              <w:rPr>
                <w:color w:val="000000"/>
                <w:sz w:val="22"/>
                <w:szCs w:val="22"/>
              </w:rPr>
              <w:t>37</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Wage</w:t>
            </w:r>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0.1</w:t>
            </w:r>
            <w:r w:rsidR="00BC058F">
              <w:rPr>
                <w:color w:val="000000"/>
                <w:sz w:val="22"/>
                <w:szCs w:val="22"/>
              </w:rPr>
              <w:t>844</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657FC8">
              <w:rPr>
                <w:color w:val="000000"/>
                <w:sz w:val="22"/>
                <w:szCs w:val="22"/>
              </w:rPr>
              <w:t>0.04</w:t>
            </w:r>
            <w:r w:rsidR="00BC058F">
              <w:rPr>
                <w:color w:val="000000"/>
                <w:sz w:val="22"/>
                <w:szCs w:val="22"/>
              </w:rPr>
              <w:t>21</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Metro</w:t>
            </w:r>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0.03</w:t>
            </w:r>
            <w:r w:rsidR="00BC058F">
              <w:rPr>
                <w:color w:val="000000"/>
                <w:sz w:val="22"/>
                <w:szCs w:val="22"/>
              </w:rPr>
              <w:t>40</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D139B">
            <w:pPr>
              <w:jc w:val="right"/>
              <w:rPr>
                <w:color w:val="000000"/>
                <w:sz w:val="22"/>
                <w:szCs w:val="22"/>
              </w:rPr>
            </w:pPr>
            <w:r>
              <w:rPr>
                <w:color w:val="000000"/>
                <w:sz w:val="22"/>
                <w:szCs w:val="22"/>
              </w:rPr>
              <w:t>(</w:t>
            </w:r>
            <w:r w:rsidR="00657FC8">
              <w:rPr>
                <w:color w:val="000000"/>
                <w:sz w:val="22"/>
                <w:szCs w:val="22"/>
              </w:rPr>
              <w:t>0.0</w:t>
            </w:r>
            <w:r w:rsidR="00BC058F">
              <w:rPr>
                <w:color w:val="000000"/>
                <w:sz w:val="22"/>
                <w:szCs w:val="22"/>
              </w:rPr>
              <w:t>1</w:t>
            </w:r>
            <w:r w:rsidR="00657FC8">
              <w:rPr>
                <w:color w:val="000000"/>
                <w:sz w:val="22"/>
                <w:szCs w:val="22"/>
              </w:rPr>
              <w:t>11</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PIT</w:t>
            </w:r>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2</w:t>
            </w:r>
            <w:r w:rsidR="00BC058F">
              <w:rPr>
                <w:color w:val="000000"/>
                <w:sz w:val="22"/>
                <w:szCs w:val="22"/>
              </w:rPr>
              <w:t>5</w:t>
            </w:r>
            <w:r>
              <w:rPr>
                <w:color w:val="000000"/>
                <w:sz w:val="22"/>
                <w:szCs w:val="22"/>
              </w:rPr>
              <w:t>.</w:t>
            </w:r>
            <w:r w:rsidR="00BC058F">
              <w:rPr>
                <w:color w:val="000000"/>
                <w:sz w:val="22"/>
                <w:szCs w:val="22"/>
              </w:rPr>
              <w:t>007</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BC058F">
              <w:rPr>
                <w:color w:val="000000"/>
                <w:sz w:val="22"/>
                <w:szCs w:val="22"/>
              </w:rPr>
              <w:t>20.711</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ST</w:t>
            </w:r>
          </w:p>
        </w:tc>
        <w:tc>
          <w:tcPr>
            <w:tcW w:w="1874" w:type="dxa"/>
            <w:shd w:val="clear" w:color="auto" w:fill="auto"/>
            <w:noWrap/>
            <w:vAlign w:val="bottom"/>
          </w:tcPr>
          <w:p w:rsidR="00BD139B" w:rsidRDefault="00BC058F" w:rsidP="00BC058F">
            <w:pPr>
              <w:jc w:val="right"/>
              <w:rPr>
                <w:color w:val="000000"/>
                <w:sz w:val="22"/>
                <w:szCs w:val="22"/>
              </w:rPr>
            </w:pPr>
            <w:r>
              <w:rPr>
                <w:color w:val="000000"/>
                <w:sz w:val="22"/>
                <w:szCs w:val="22"/>
              </w:rPr>
              <w:t>18.876</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 xml:space="preserve">  </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657FC8">
              <w:rPr>
                <w:color w:val="000000"/>
                <w:sz w:val="22"/>
                <w:szCs w:val="22"/>
              </w:rPr>
              <w:t>1</w:t>
            </w:r>
            <w:r w:rsidR="00BC058F">
              <w:rPr>
                <w:color w:val="000000"/>
                <w:sz w:val="22"/>
                <w:szCs w:val="22"/>
              </w:rPr>
              <w:t>8.779</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BA</w:t>
            </w:r>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-0.0</w:t>
            </w:r>
            <w:r w:rsidR="00BC058F">
              <w:rPr>
                <w:color w:val="000000"/>
                <w:sz w:val="22"/>
                <w:szCs w:val="22"/>
              </w:rPr>
              <w:t>298</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D139B">
            <w:pPr>
              <w:jc w:val="right"/>
              <w:rPr>
                <w:color w:val="000000"/>
                <w:sz w:val="22"/>
                <w:szCs w:val="22"/>
              </w:rPr>
            </w:pPr>
            <w:r>
              <w:rPr>
                <w:color w:val="000000"/>
                <w:sz w:val="22"/>
                <w:szCs w:val="22"/>
              </w:rPr>
              <w:t>(</w:t>
            </w:r>
            <w:r w:rsidR="00657FC8">
              <w:rPr>
                <w:color w:val="000000"/>
                <w:sz w:val="22"/>
                <w:szCs w:val="22"/>
              </w:rPr>
              <w:t>0.05</w:t>
            </w:r>
            <w:r w:rsidR="00BC058F">
              <w:rPr>
                <w:color w:val="000000"/>
                <w:sz w:val="22"/>
                <w:szCs w:val="22"/>
              </w:rPr>
              <w:t>6</w:t>
            </w:r>
            <w:r w:rsidR="00657FC8">
              <w:rPr>
                <w:color w:val="000000"/>
                <w:sz w:val="22"/>
                <w:szCs w:val="22"/>
              </w:rPr>
              <w:t>9</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Over65</w:t>
            </w:r>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0.0</w:t>
            </w:r>
            <w:r w:rsidR="00BC058F">
              <w:rPr>
                <w:color w:val="000000"/>
                <w:sz w:val="22"/>
                <w:szCs w:val="22"/>
              </w:rPr>
              <w:t>710</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 xml:space="preserve">  </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657FC8">
              <w:rPr>
                <w:color w:val="000000"/>
                <w:sz w:val="22"/>
                <w:szCs w:val="22"/>
              </w:rPr>
              <w:t>0.09</w:t>
            </w:r>
            <w:r w:rsidR="00BC058F">
              <w:rPr>
                <w:color w:val="000000"/>
                <w:sz w:val="22"/>
                <w:szCs w:val="22"/>
              </w:rPr>
              <w:t>55</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MFG</w:t>
            </w:r>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-0.0</w:t>
            </w:r>
            <w:r w:rsidR="00BC058F">
              <w:rPr>
                <w:color w:val="000000"/>
                <w:sz w:val="22"/>
                <w:szCs w:val="22"/>
              </w:rPr>
              <w:t>373</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D139B">
            <w:pPr>
              <w:jc w:val="right"/>
              <w:rPr>
                <w:color w:val="000000"/>
                <w:sz w:val="22"/>
                <w:szCs w:val="22"/>
              </w:rPr>
            </w:pPr>
            <w:r>
              <w:rPr>
                <w:color w:val="000000"/>
                <w:sz w:val="22"/>
                <w:szCs w:val="22"/>
              </w:rPr>
              <w:t>(</w:t>
            </w:r>
            <w:r w:rsidR="00657FC8">
              <w:rPr>
                <w:color w:val="000000"/>
                <w:sz w:val="22"/>
                <w:szCs w:val="22"/>
              </w:rPr>
              <w:t>0.04</w:t>
            </w:r>
            <w:r w:rsidR="00BC058F">
              <w:rPr>
                <w:color w:val="000000"/>
                <w:sz w:val="22"/>
                <w:szCs w:val="22"/>
              </w:rPr>
              <w:t>3</w:t>
            </w:r>
            <w:r w:rsidR="00657FC8">
              <w:rPr>
                <w:color w:val="000000"/>
                <w:sz w:val="22"/>
                <w:szCs w:val="22"/>
              </w:rPr>
              <w:t>5</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proofErr w:type="spellStart"/>
            <w:r>
              <w:rPr>
                <w:i/>
                <w:iCs/>
                <w:color w:val="000000"/>
                <w:sz w:val="22"/>
                <w:szCs w:val="22"/>
              </w:rPr>
              <w:t>PcInc</w:t>
            </w:r>
            <w:proofErr w:type="spellEnd"/>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w:t>
            </w:r>
            <w:r w:rsidR="00BC058F">
              <w:rPr>
                <w:color w:val="000000"/>
                <w:sz w:val="22"/>
                <w:szCs w:val="22"/>
              </w:rPr>
              <w:t>0.2400</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w:t>
            </w:r>
            <w:r w:rsidR="00253FE0">
              <w:rPr>
                <w:color w:val="000000"/>
                <w:sz w:val="22"/>
                <w:szCs w:val="22"/>
              </w:rPr>
              <w:t>*</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657FC8">
              <w:rPr>
                <w:color w:val="000000"/>
                <w:sz w:val="22"/>
                <w:szCs w:val="22"/>
              </w:rPr>
              <w:t>0.08</w:t>
            </w:r>
            <w:r w:rsidR="00BC058F">
              <w:rPr>
                <w:color w:val="000000"/>
                <w:sz w:val="22"/>
                <w:szCs w:val="22"/>
              </w:rPr>
              <w:t>13</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HI</w:t>
            </w:r>
          </w:p>
        </w:tc>
        <w:tc>
          <w:tcPr>
            <w:tcW w:w="1874" w:type="dxa"/>
            <w:shd w:val="clear" w:color="auto" w:fill="auto"/>
            <w:noWrap/>
            <w:vAlign w:val="bottom"/>
          </w:tcPr>
          <w:p w:rsidR="00BD139B" w:rsidRDefault="00657FC8" w:rsidP="00BC058F">
            <w:pPr>
              <w:jc w:val="right"/>
              <w:rPr>
                <w:color w:val="000000"/>
                <w:sz w:val="22"/>
                <w:szCs w:val="22"/>
              </w:rPr>
            </w:pPr>
            <w:r>
              <w:rPr>
                <w:color w:val="000000"/>
                <w:sz w:val="22"/>
                <w:szCs w:val="22"/>
              </w:rPr>
              <w:t>-</w:t>
            </w:r>
            <w:r w:rsidR="00BC058F">
              <w:rPr>
                <w:color w:val="000000"/>
                <w:sz w:val="22"/>
                <w:szCs w:val="22"/>
              </w:rPr>
              <w:t>29.869</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 xml:space="preserve">  </w:t>
            </w:r>
          </w:p>
        </w:tc>
      </w:tr>
      <w:tr w:rsidR="00BD139B" w:rsidTr="003075D5">
        <w:trPr>
          <w:trHeight w:val="216"/>
        </w:trPr>
        <w:tc>
          <w:tcPr>
            <w:tcW w:w="2810" w:type="dxa"/>
            <w:shd w:val="clear" w:color="auto" w:fill="auto"/>
            <w:noWrap/>
            <w:vAlign w:val="bottom"/>
            <w:hideMark/>
          </w:tcPr>
          <w:p w:rsidR="00BD139B" w:rsidRDefault="00BD139B" w:rsidP="00BD139B">
            <w:pPr>
              <w:rPr>
                <w:color w:val="000000"/>
                <w:sz w:val="22"/>
                <w:szCs w:val="22"/>
              </w:rPr>
            </w:pPr>
          </w:p>
        </w:tc>
        <w:tc>
          <w:tcPr>
            <w:tcW w:w="1348" w:type="dxa"/>
            <w:shd w:val="clear" w:color="auto" w:fill="auto"/>
            <w:noWrap/>
            <w:vAlign w:val="bottom"/>
            <w:hideMark/>
          </w:tcPr>
          <w:p w:rsidR="00BD139B" w:rsidRDefault="00BD139B" w:rsidP="00BD139B">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w:t>
            </w:r>
            <w:r w:rsidR="00657FC8">
              <w:rPr>
                <w:color w:val="000000"/>
                <w:sz w:val="22"/>
                <w:szCs w:val="22"/>
              </w:rPr>
              <w:t>26.</w:t>
            </w:r>
            <w:r w:rsidR="00BC058F">
              <w:rPr>
                <w:color w:val="000000"/>
                <w:sz w:val="22"/>
                <w:szCs w:val="22"/>
              </w:rPr>
              <w:t>103</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jc w:val="center"/>
              <w:rPr>
                <w:i/>
                <w:iCs/>
                <w:color w:val="000000"/>
                <w:sz w:val="22"/>
                <w:szCs w:val="22"/>
              </w:rPr>
            </w:pPr>
            <w:r>
              <w:rPr>
                <w:i/>
                <w:iCs/>
                <w:color w:val="000000"/>
                <w:sz w:val="22"/>
                <w:szCs w:val="22"/>
              </w:rPr>
              <w:t>Pop</w:t>
            </w:r>
          </w:p>
        </w:tc>
        <w:tc>
          <w:tcPr>
            <w:tcW w:w="1874" w:type="dxa"/>
            <w:shd w:val="clear" w:color="auto" w:fill="auto"/>
            <w:noWrap/>
            <w:vAlign w:val="bottom"/>
          </w:tcPr>
          <w:p w:rsidR="00BD139B" w:rsidRDefault="00BC058F" w:rsidP="00BC058F">
            <w:pPr>
              <w:jc w:val="right"/>
              <w:rPr>
                <w:color w:val="000000"/>
                <w:sz w:val="22"/>
                <w:szCs w:val="22"/>
              </w:rPr>
            </w:pPr>
            <w:r>
              <w:rPr>
                <w:color w:val="000000"/>
                <w:sz w:val="22"/>
                <w:szCs w:val="22"/>
              </w:rPr>
              <w:t>1.382</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w:t>
            </w:r>
          </w:p>
        </w:tc>
      </w:tr>
      <w:tr w:rsidR="00BD139B" w:rsidTr="003075D5">
        <w:trPr>
          <w:trHeight w:val="216"/>
        </w:trPr>
        <w:tc>
          <w:tcPr>
            <w:tcW w:w="2810" w:type="dxa"/>
            <w:tcBorders>
              <w:bottom w:val="single" w:sz="4" w:space="0" w:color="auto"/>
            </w:tcBorders>
            <w:shd w:val="clear" w:color="auto" w:fill="auto"/>
            <w:noWrap/>
            <w:vAlign w:val="bottom"/>
            <w:hideMark/>
          </w:tcPr>
          <w:p w:rsidR="00BD139B" w:rsidRDefault="00BD139B" w:rsidP="00BD139B">
            <w:pPr>
              <w:jc w:val="center"/>
              <w:rPr>
                <w:i/>
                <w:iCs/>
                <w:color w:val="000000"/>
                <w:sz w:val="22"/>
                <w:szCs w:val="22"/>
              </w:rPr>
            </w:pPr>
          </w:p>
        </w:tc>
        <w:tc>
          <w:tcPr>
            <w:tcW w:w="1348" w:type="dxa"/>
            <w:tcBorders>
              <w:bottom w:val="single" w:sz="4" w:space="0" w:color="auto"/>
            </w:tcBorders>
            <w:shd w:val="clear" w:color="auto" w:fill="auto"/>
            <w:noWrap/>
            <w:vAlign w:val="bottom"/>
            <w:hideMark/>
          </w:tcPr>
          <w:p w:rsidR="00BD139B" w:rsidRDefault="00BD139B" w:rsidP="00BD139B">
            <w:pPr>
              <w:jc w:val="center"/>
              <w:rPr>
                <w:i/>
                <w:iCs/>
                <w:color w:val="000000"/>
                <w:sz w:val="22"/>
                <w:szCs w:val="22"/>
              </w:rPr>
            </w:pPr>
          </w:p>
        </w:tc>
        <w:tc>
          <w:tcPr>
            <w:tcW w:w="1874" w:type="dxa"/>
            <w:tcBorders>
              <w:bottom w:val="single" w:sz="4" w:space="0" w:color="auto"/>
            </w:tcBorders>
            <w:shd w:val="clear" w:color="auto" w:fill="auto"/>
            <w:noWrap/>
            <w:vAlign w:val="bottom"/>
          </w:tcPr>
          <w:p w:rsidR="00BD139B" w:rsidRDefault="003075D5" w:rsidP="00BD139B">
            <w:pPr>
              <w:jc w:val="right"/>
              <w:rPr>
                <w:color w:val="000000"/>
                <w:sz w:val="22"/>
                <w:szCs w:val="22"/>
              </w:rPr>
            </w:pPr>
            <w:r>
              <w:rPr>
                <w:color w:val="000000"/>
                <w:sz w:val="22"/>
                <w:szCs w:val="22"/>
              </w:rPr>
              <w:t>(</w:t>
            </w:r>
            <w:r w:rsidR="00657FC8">
              <w:rPr>
                <w:color w:val="000000"/>
                <w:sz w:val="22"/>
                <w:szCs w:val="22"/>
              </w:rPr>
              <w:t>0.056</w:t>
            </w:r>
            <w:r>
              <w:rPr>
                <w:color w:val="000000"/>
                <w:sz w:val="22"/>
                <w:szCs w:val="22"/>
              </w:rPr>
              <w:t>)</w:t>
            </w:r>
          </w:p>
        </w:tc>
        <w:tc>
          <w:tcPr>
            <w:tcW w:w="726" w:type="dxa"/>
            <w:tcBorders>
              <w:bottom w:val="single" w:sz="4" w:space="0" w:color="auto"/>
            </w:tcBorders>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tcBorders>
              <w:top w:val="single" w:sz="4" w:space="0" w:color="auto"/>
            </w:tcBorders>
            <w:shd w:val="clear" w:color="auto" w:fill="auto"/>
            <w:noWrap/>
            <w:vAlign w:val="bottom"/>
            <w:hideMark/>
          </w:tcPr>
          <w:p w:rsidR="00BD139B" w:rsidRDefault="00BD139B" w:rsidP="00323421">
            <w:pPr>
              <w:rPr>
                <w:color w:val="000000"/>
                <w:sz w:val="22"/>
                <w:szCs w:val="22"/>
              </w:rPr>
            </w:pPr>
            <w:r>
              <w:rPr>
                <w:color w:val="000000"/>
                <w:sz w:val="22"/>
                <w:szCs w:val="22"/>
              </w:rPr>
              <w:t xml:space="preserve">Elasticity with respect to </w:t>
            </w:r>
            <w:proofErr w:type="spellStart"/>
            <w:r w:rsidRPr="00323421">
              <w:rPr>
                <w:i/>
                <w:color w:val="000000"/>
                <w:sz w:val="22"/>
                <w:szCs w:val="22"/>
              </w:rPr>
              <w:t>FRate</w:t>
            </w:r>
            <w:proofErr w:type="spellEnd"/>
          </w:p>
        </w:tc>
        <w:tc>
          <w:tcPr>
            <w:tcW w:w="1874" w:type="dxa"/>
            <w:tcBorders>
              <w:top w:val="single" w:sz="4" w:space="0" w:color="auto"/>
            </w:tcBorders>
            <w:shd w:val="clear" w:color="auto" w:fill="auto"/>
            <w:noWrap/>
            <w:vAlign w:val="bottom"/>
          </w:tcPr>
          <w:p w:rsidR="00BD139B" w:rsidRDefault="006D1D1E" w:rsidP="00BC058F">
            <w:pPr>
              <w:jc w:val="right"/>
              <w:rPr>
                <w:color w:val="000000"/>
                <w:sz w:val="22"/>
                <w:szCs w:val="22"/>
              </w:rPr>
            </w:pPr>
            <w:r>
              <w:rPr>
                <w:color w:val="000000"/>
                <w:sz w:val="22"/>
                <w:szCs w:val="22"/>
              </w:rPr>
              <w:t>-</w:t>
            </w:r>
            <w:r w:rsidR="003075D5">
              <w:rPr>
                <w:color w:val="000000"/>
                <w:sz w:val="22"/>
                <w:szCs w:val="22"/>
              </w:rPr>
              <w:t>0.8</w:t>
            </w:r>
            <w:r w:rsidR="00BC058F">
              <w:rPr>
                <w:color w:val="000000"/>
                <w:sz w:val="22"/>
                <w:szCs w:val="22"/>
              </w:rPr>
              <w:t>12</w:t>
            </w:r>
          </w:p>
        </w:tc>
        <w:tc>
          <w:tcPr>
            <w:tcW w:w="726" w:type="dxa"/>
            <w:tcBorders>
              <w:top w:val="single" w:sz="4" w:space="0" w:color="auto"/>
            </w:tcBorders>
            <w:shd w:val="clear" w:color="auto" w:fill="auto"/>
            <w:noWrap/>
            <w:vAlign w:val="bottom"/>
            <w:hideMark/>
          </w:tcPr>
          <w:p w:rsidR="00BD139B" w:rsidRDefault="00BD139B" w:rsidP="00BD139B">
            <w:pPr>
              <w:rPr>
                <w:color w:val="000000"/>
                <w:sz w:val="22"/>
                <w:szCs w:val="22"/>
              </w:rPr>
            </w:pPr>
            <w:r>
              <w:rPr>
                <w:color w:val="000000"/>
                <w:sz w:val="22"/>
                <w:szCs w:val="22"/>
              </w:rPr>
              <w:t>***</w:t>
            </w:r>
          </w:p>
        </w:tc>
      </w:tr>
      <w:tr w:rsidR="00BD139B" w:rsidTr="003075D5">
        <w:trPr>
          <w:trHeight w:val="216"/>
        </w:trPr>
        <w:tc>
          <w:tcPr>
            <w:tcW w:w="2810" w:type="dxa"/>
            <w:shd w:val="clear" w:color="auto" w:fill="auto"/>
            <w:noWrap/>
            <w:vAlign w:val="bottom"/>
            <w:hideMark/>
          </w:tcPr>
          <w:p w:rsidR="00BD139B" w:rsidRDefault="00BD139B" w:rsidP="003075D5">
            <w:pPr>
              <w:rPr>
                <w:color w:val="000000"/>
                <w:sz w:val="22"/>
                <w:szCs w:val="22"/>
              </w:rPr>
            </w:pPr>
          </w:p>
        </w:tc>
        <w:tc>
          <w:tcPr>
            <w:tcW w:w="1348" w:type="dxa"/>
            <w:shd w:val="clear" w:color="auto" w:fill="auto"/>
            <w:noWrap/>
            <w:vAlign w:val="bottom"/>
            <w:hideMark/>
          </w:tcPr>
          <w:p w:rsidR="00BD139B" w:rsidRDefault="00BD139B" w:rsidP="003075D5">
            <w:pPr>
              <w:rPr>
                <w:color w:val="000000"/>
                <w:sz w:val="22"/>
                <w:szCs w:val="22"/>
              </w:rPr>
            </w:pPr>
          </w:p>
        </w:tc>
        <w:tc>
          <w:tcPr>
            <w:tcW w:w="1874" w:type="dxa"/>
            <w:shd w:val="clear" w:color="auto" w:fill="auto"/>
            <w:noWrap/>
            <w:vAlign w:val="bottom"/>
          </w:tcPr>
          <w:p w:rsidR="00BD139B" w:rsidRDefault="003075D5" w:rsidP="00BC058F">
            <w:pPr>
              <w:jc w:val="right"/>
              <w:rPr>
                <w:color w:val="000000"/>
                <w:sz w:val="22"/>
                <w:szCs w:val="22"/>
              </w:rPr>
            </w:pPr>
            <w:r>
              <w:rPr>
                <w:color w:val="000000"/>
                <w:sz w:val="22"/>
                <w:szCs w:val="22"/>
              </w:rPr>
              <w:t>(0.1</w:t>
            </w:r>
            <w:r w:rsidR="00BC058F">
              <w:rPr>
                <w:color w:val="000000"/>
                <w:sz w:val="22"/>
                <w:szCs w:val="22"/>
              </w:rPr>
              <w:t>19</w:t>
            </w:r>
            <w:r>
              <w:rPr>
                <w:color w:val="000000"/>
                <w:sz w:val="22"/>
                <w:szCs w:val="22"/>
              </w:rPr>
              <w:t>)</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3075D5">
            <w:pPr>
              <w:rPr>
                <w:color w:val="000000"/>
                <w:sz w:val="22"/>
                <w:szCs w:val="22"/>
              </w:rPr>
            </w:pPr>
            <w:r>
              <w:rPr>
                <w:color w:val="000000"/>
                <w:sz w:val="22"/>
                <w:szCs w:val="22"/>
              </w:rPr>
              <w:t>Number of Observations</w:t>
            </w:r>
          </w:p>
        </w:tc>
        <w:tc>
          <w:tcPr>
            <w:tcW w:w="1874" w:type="dxa"/>
            <w:shd w:val="clear" w:color="auto" w:fill="auto"/>
            <w:noWrap/>
            <w:vAlign w:val="bottom"/>
            <w:hideMark/>
          </w:tcPr>
          <w:p w:rsidR="00BD139B" w:rsidRDefault="00BD139B" w:rsidP="00BD139B">
            <w:pPr>
              <w:jc w:val="right"/>
              <w:rPr>
                <w:color w:val="000000"/>
                <w:sz w:val="22"/>
                <w:szCs w:val="22"/>
              </w:rPr>
            </w:pPr>
            <w:r>
              <w:rPr>
                <w:color w:val="000000"/>
                <w:sz w:val="22"/>
                <w:szCs w:val="22"/>
              </w:rPr>
              <w:t>755</w:t>
            </w: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tcBorders>
              <w:bottom w:val="single" w:sz="4" w:space="0" w:color="auto"/>
            </w:tcBorders>
            <w:shd w:val="clear" w:color="auto" w:fill="auto"/>
            <w:noWrap/>
            <w:vAlign w:val="bottom"/>
            <w:hideMark/>
          </w:tcPr>
          <w:p w:rsidR="00BD139B" w:rsidRDefault="00BD139B" w:rsidP="003075D5">
            <w:pPr>
              <w:rPr>
                <w:color w:val="000000"/>
                <w:sz w:val="22"/>
                <w:szCs w:val="22"/>
              </w:rPr>
            </w:pPr>
            <w:r>
              <w:rPr>
                <w:color w:val="000000"/>
                <w:sz w:val="22"/>
                <w:szCs w:val="22"/>
              </w:rPr>
              <w:t>R</w:t>
            </w:r>
            <w:r>
              <w:rPr>
                <w:color w:val="000000"/>
                <w:sz w:val="22"/>
                <w:szCs w:val="22"/>
                <w:vertAlign w:val="superscript"/>
              </w:rPr>
              <w:t>2</w:t>
            </w:r>
          </w:p>
        </w:tc>
        <w:tc>
          <w:tcPr>
            <w:tcW w:w="1874" w:type="dxa"/>
            <w:tcBorders>
              <w:bottom w:val="single" w:sz="4" w:space="0" w:color="auto"/>
            </w:tcBorders>
            <w:shd w:val="clear" w:color="auto" w:fill="auto"/>
            <w:noWrap/>
            <w:vAlign w:val="bottom"/>
            <w:hideMark/>
          </w:tcPr>
          <w:p w:rsidR="00BD139B" w:rsidRDefault="003075D5" w:rsidP="00BC058F">
            <w:pPr>
              <w:jc w:val="right"/>
              <w:rPr>
                <w:color w:val="000000"/>
                <w:sz w:val="22"/>
                <w:szCs w:val="22"/>
              </w:rPr>
            </w:pPr>
            <w:r>
              <w:rPr>
                <w:color w:val="000000"/>
                <w:sz w:val="22"/>
                <w:szCs w:val="22"/>
              </w:rPr>
              <w:t>0</w:t>
            </w:r>
            <w:r w:rsidR="00BD139B">
              <w:rPr>
                <w:color w:val="000000"/>
                <w:sz w:val="22"/>
                <w:szCs w:val="22"/>
              </w:rPr>
              <w:t>.8</w:t>
            </w:r>
            <w:r>
              <w:rPr>
                <w:color w:val="000000"/>
                <w:sz w:val="22"/>
                <w:szCs w:val="22"/>
              </w:rPr>
              <w:t>3</w:t>
            </w:r>
            <w:r w:rsidR="00BC058F">
              <w:rPr>
                <w:color w:val="000000"/>
                <w:sz w:val="22"/>
                <w:szCs w:val="22"/>
              </w:rPr>
              <w:t>7</w:t>
            </w:r>
          </w:p>
        </w:tc>
        <w:tc>
          <w:tcPr>
            <w:tcW w:w="726" w:type="dxa"/>
            <w:shd w:val="clear" w:color="auto" w:fill="auto"/>
            <w:noWrap/>
            <w:vAlign w:val="bottom"/>
            <w:hideMark/>
          </w:tcPr>
          <w:p w:rsidR="00BD139B" w:rsidRDefault="00BD139B" w:rsidP="00BD139B">
            <w:pPr>
              <w:rPr>
                <w:color w:val="000000"/>
                <w:sz w:val="22"/>
                <w:szCs w:val="22"/>
              </w:rPr>
            </w:pPr>
            <w:r>
              <w:rPr>
                <w:color w:val="000000"/>
                <w:sz w:val="22"/>
                <w:szCs w:val="22"/>
              </w:rPr>
              <w:t> </w:t>
            </w:r>
          </w:p>
        </w:tc>
      </w:tr>
      <w:tr w:rsidR="00BD139B" w:rsidTr="003075D5">
        <w:trPr>
          <w:trHeight w:val="216"/>
        </w:trPr>
        <w:tc>
          <w:tcPr>
            <w:tcW w:w="2810" w:type="dxa"/>
            <w:tcBorders>
              <w:top w:val="single" w:sz="4" w:space="0" w:color="auto"/>
            </w:tcBorders>
            <w:shd w:val="clear" w:color="auto" w:fill="auto"/>
            <w:noWrap/>
            <w:vAlign w:val="bottom"/>
            <w:hideMark/>
          </w:tcPr>
          <w:p w:rsidR="00BD139B" w:rsidRDefault="00BD139B" w:rsidP="00BD139B">
            <w:pPr>
              <w:rPr>
                <w:color w:val="000000"/>
                <w:sz w:val="22"/>
                <w:szCs w:val="22"/>
              </w:rPr>
            </w:pPr>
          </w:p>
        </w:tc>
        <w:tc>
          <w:tcPr>
            <w:tcW w:w="1348" w:type="dxa"/>
            <w:tcBorders>
              <w:top w:val="single" w:sz="4" w:space="0" w:color="auto"/>
            </w:tcBorders>
            <w:shd w:val="clear" w:color="auto" w:fill="auto"/>
            <w:noWrap/>
            <w:vAlign w:val="bottom"/>
            <w:hideMark/>
          </w:tcPr>
          <w:p w:rsidR="00BD139B" w:rsidRDefault="00BD139B" w:rsidP="00BD139B">
            <w:pPr>
              <w:rPr>
                <w:color w:val="000000"/>
                <w:sz w:val="22"/>
                <w:szCs w:val="22"/>
              </w:rPr>
            </w:pPr>
          </w:p>
        </w:tc>
        <w:tc>
          <w:tcPr>
            <w:tcW w:w="1874" w:type="dxa"/>
            <w:tcBorders>
              <w:top w:val="single" w:sz="4" w:space="0" w:color="auto"/>
            </w:tcBorders>
            <w:shd w:val="clear" w:color="auto" w:fill="auto"/>
            <w:noWrap/>
            <w:vAlign w:val="bottom"/>
            <w:hideMark/>
          </w:tcPr>
          <w:p w:rsidR="00BD139B" w:rsidRDefault="00BD139B" w:rsidP="00BD139B">
            <w:pPr>
              <w:rPr>
                <w:color w:val="000000"/>
                <w:sz w:val="22"/>
                <w:szCs w:val="22"/>
              </w:rPr>
            </w:pPr>
          </w:p>
        </w:tc>
        <w:tc>
          <w:tcPr>
            <w:tcW w:w="726" w:type="dxa"/>
            <w:shd w:val="clear" w:color="auto" w:fill="auto"/>
            <w:noWrap/>
            <w:vAlign w:val="bottom"/>
            <w:hideMark/>
          </w:tcPr>
          <w:p w:rsidR="00BD139B" w:rsidRDefault="00BD139B" w:rsidP="00BD139B">
            <w:pPr>
              <w:rPr>
                <w:color w:val="000000"/>
                <w:sz w:val="22"/>
                <w:szCs w:val="22"/>
              </w:rPr>
            </w:pPr>
          </w:p>
        </w:tc>
      </w:tr>
      <w:tr w:rsidR="004D03EA" w:rsidTr="003075D5">
        <w:trPr>
          <w:trHeight w:val="216"/>
        </w:trPr>
        <w:tc>
          <w:tcPr>
            <w:tcW w:w="6032" w:type="dxa"/>
            <w:gridSpan w:val="3"/>
            <w:shd w:val="clear" w:color="auto" w:fill="auto"/>
            <w:noWrap/>
            <w:vAlign w:val="bottom"/>
            <w:hideMark/>
          </w:tcPr>
          <w:p w:rsidR="004D03EA" w:rsidRDefault="004D03EA" w:rsidP="00C746ED">
            <w:pPr>
              <w:rPr>
                <w:color w:val="000000"/>
                <w:sz w:val="22"/>
                <w:szCs w:val="22"/>
              </w:rPr>
            </w:pPr>
            <w:r>
              <w:rPr>
                <w:color w:val="000000"/>
                <w:sz w:val="22"/>
                <w:szCs w:val="22"/>
              </w:rPr>
              <w:t xml:space="preserve">Note:  </w:t>
            </w:r>
            <w:r w:rsidR="00C746ED">
              <w:rPr>
                <w:color w:val="000000"/>
                <w:sz w:val="22"/>
                <w:szCs w:val="22"/>
              </w:rPr>
              <w:t xml:space="preserve"> Robust standard </w:t>
            </w:r>
            <w:r>
              <w:rPr>
                <w:color w:val="000000"/>
                <w:sz w:val="22"/>
                <w:szCs w:val="22"/>
              </w:rPr>
              <w:t>errors in parenthes</w:t>
            </w:r>
            <w:r w:rsidR="00F62123">
              <w:rPr>
                <w:color w:val="000000"/>
                <w:sz w:val="22"/>
                <w:szCs w:val="22"/>
              </w:rPr>
              <w:t>e</w:t>
            </w:r>
            <w:r>
              <w:rPr>
                <w:color w:val="000000"/>
                <w:sz w:val="22"/>
                <w:szCs w:val="22"/>
              </w:rPr>
              <w:t>s</w:t>
            </w:r>
            <w:r w:rsidR="00F62123">
              <w:rPr>
                <w:color w:val="000000"/>
                <w:sz w:val="22"/>
                <w:szCs w:val="22"/>
              </w:rPr>
              <w:t>.</w:t>
            </w:r>
          </w:p>
        </w:tc>
        <w:tc>
          <w:tcPr>
            <w:tcW w:w="726" w:type="dxa"/>
            <w:shd w:val="clear" w:color="auto" w:fill="auto"/>
            <w:noWrap/>
            <w:vAlign w:val="bottom"/>
            <w:hideMark/>
          </w:tcPr>
          <w:p w:rsidR="004D03EA" w:rsidRDefault="004D03EA"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rPr>
                <w:color w:val="000000"/>
                <w:sz w:val="22"/>
                <w:szCs w:val="22"/>
              </w:rPr>
            </w:pPr>
            <w:r>
              <w:rPr>
                <w:color w:val="000000"/>
                <w:sz w:val="22"/>
                <w:szCs w:val="22"/>
              </w:rPr>
              <w:t>* denotes significance at the .10 level</w:t>
            </w:r>
          </w:p>
        </w:tc>
        <w:tc>
          <w:tcPr>
            <w:tcW w:w="1874" w:type="dxa"/>
            <w:shd w:val="clear" w:color="auto" w:fill="auto"/>
            <w:noWrap/>
            <w:vAlign w:val="bottom"/>
            <w:hideMark/>
          </w:tcPr>
          <w:p w:rsidR="00BD139B" w:rsidRDefault="00BD139B" w:rsidP="00BD139B">
            <w:pPr>
              <w:rPr>
                <w:color w:val="000000"/>
                <w:sz w:val="22"/>
                <w:szCs w:val="22"/>
              </w:rPr>
            </w:pP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rPr>
                <w:color w:val="000000"/>
                <w:sz w:val="22"/>
                <w:szCs w:val="22"/>
              </w:rPr>
            </w:pPr>
            <w:r>
              <w:rPr>
                <w:color w:val="000000"/>
                <w:sz w:val="22"/>
                <w:szCs w:val="22"/>
              </w:rPr>
              <w:t>** denotes significance at the .05 level</w:t>
            </w:r>
          </w:p>
        </w:tc>
        <w:tc>
          <w:tcPr>
            <w:tcW w:w="1874" w:type="dxa"/>
            <w:shd w:val="clear" w:color="auto" w:fill="auto"/>
            <w:noWrap/>
            <w:vAlign w:val="bottom"/>
            <w:hideMark/>
          </w:tcPr>
          <w:p w:rsidR="00BD139B" w:rsidRDefault="00BD139B" w:rsidP="00BD139B">
            <w:pPr>
              <w:rPr>
                <w:color w:val="000000"/>
                <w:sz w:val="22"/>
                <w:szCs w:val="22"/>
              </w:rPr>
            </w:pPr>
          </w:p>
        </w:tc>
        <w:tc>
          <w:tcPr>
            <w:tcW w:w="726" w:type="dxa"/>
            <w:shd w:val="clear" w:color="auto" w:fill="auto"/>
            <w:noWrap/>
            <w:vAlign w:val="bottom"/>
            <w:hideMark/>
          </w:tcPr>
          <w:p w:rsidR="00BD139B" w:rsidRDefault="00BD139B" w:rsidP="00BD139B">
            <w:pPr>
              <w:rPr>
                <w:color w:val="000000"/>
                <w:sz w:val="22"/>
                <w:szCs w:val="22"/>
              </w:rPr>
            </w:pPr>
          </w:p>
        </w:tc>
      </w:tr>
      <w:tr w:rsidR="00BD139B" w:rsidTr="003075D5">
        <w:trPr>
          <w:trHeight w:val="216"/>
        </w:trPr>
        <w:tc>
          <w:tcPr>
            <w:tcW w:w="4158" w:type="dxa"/>
            <w:gridSpan w:val="2"/>
            <w:shd w:val="clear" w:color="auto" w:fill="auto"/>
            <w:noWrap/>
            <w:vAlign w:val="bottom"/>
            <w:hideMark/>
          </w:tcPr>
          <w:p w:rsidR="00BD139B" w:rsidRDefault="00BD139B" w:rsidP="00BD139B">
            <w:pPr>
              <w:rPr>
                <w:color w:val="000000"/>
                <w:sz w:val="22"/>
                <w:szCs w:val="22"/>
              </w:rPr>
            </w:pPr>
            <w:r>
              <w:rPr>
                <w:color w:val="000000"/>
                <w:sz w:val="22"/>
                <w:szCs w:val="22"/>
              </w:rPr>
              <w:t>*** denotes significance at the .01 level</w:t>
            </w:r>
          </w:p>
        </w:tc>
        <w:tc>
          <w:tcPr>
            <w:tcW w:w="1874" w:type="dxa"/>
            <w:shd w:val="clear" w:color="auto" w:fill="auto"/>
            <w:noWrap/>
            <w:vAlign w:val="bottom"/>
            <w:hideMark/>
          </w:tcPr>
          <w:p w:rsidR="00BD139B" w:rsidRDefault="00BD139B" w:rsidP="00BD139B">
            <w:pPr>
              <w:rPr>
                <w:color w:val="000000"/>
                <w:sz w:val="22"/>
                <w:szCs w:val="22"/>
              </w:rPr>
            </w:pPr>
          </w:p>
        </w:tc>
        <w:tc>
          <w:tcPr>
            <w:tcW w:w="726" w:type="dxa"/>
            <w:shd w:val="clear" w:color="auto" w:fill="auto"/>
            <w:noWrap/>
            <w:vAlign w:val="bottom"/>
            <w:hideMark/>
          </w:tcPr>
          <w:p w:rsidR="00BD139B" w:rsidRDefault="00BD139B" w:rsidP="00BD139B">
            <w:pPr>
              <w:rPr>
                <w:color w:val="000000"/>
                <w:sz w:val="22"/>
                <w:szCs w:val="22"/>
              </w:rPr>
            </w:pPr>
          </w:p>
        </w:tc>
      </w:tr>
    </w:tbl>
    <w:p w:rsidR="00B26DBB" w:rsidRDefault="00B26DBB" w:rsidP="00B26DBB"/>
    <w:p w:rsidR="00B26DBB" w:rsidRDefault="00B26DBB">
      <w:r>
        <w:br w:type="page"/>
      </w:r>
    </w:p>
    <w:tbl>
      <w:tblPr>
        <w:tblW w:w="6345" w:type="dxa"/>
        <w:tblInd w:w="93" w:type="dxa"/>
        <w:tblLook w:val="04A0" w:firstRow="1" w:lastRow="0" w:firstColumn="1" w:lastColumn="0" w:noHBand="0" w:noVBand="1"/>
      </w:tblPr>
      <w:tblGrid>
        <w:gridCol w:w="755"/>
        <w:gridCol w:w="755"/>
        <w:gridCol w:w="271"/>
        <w:gridCol w:w="2553"/>
        <w:gridCol w:w="1420"/>
        <w:gridCol w:w="591"/>
      </w:tblGrid>
      <w:tr w:rsidR="003075D5" w:rsidTr="008418C3">
        <w:trPr>
          <w:trHeight w:val="600"/>
        </w:trPr>
        <w:tc>
          <w:tcPr>
            <w:tcW w:w="6345" w:type="dxa"/>
            <w:gridSpan w:val="6"/>
            <w:vMerge w:val="restart"/>
            <w:tcBorders>
              <w:top w:val="single" w:sz="4" w:space="0" w:color="auto"/>
              <w:left w:val="nil"/>
              <w:bottom w:val="nil"/>
              <w:right w:val="nil"/>
            </w:tcBorders>
            <w:shd w:val="clear" w:color="auto" w:fill="auto"/>
            <w:vAlign w:val="bottom"/>
            <w:hideMark/>
          </w:tcPr>
          <w:p w:rsidR="003075D5" w:rsidRDefault="003075D5" w:rsidP="003075D5">
            <w:pPr>
              <w:rPr>
                <w:b/>
                <w:bCs/>
                <w:color w:val="000000"/>
                <w:sz w:val="22"/>
                <w:szCs w:val="22"/>
              </w:rPr>
            </w:pPr>
            <w:r>
              <w:rPr>
                <w:b/>
                <w:bCs/>
                <w:color w:val="000000"/>
                <w:sz w:val="22"/>
                <w:szCs w:val="22"/>
              </w:rPr>
              <w:lastRenderedPageBreak/>
              <w:t xml:space="preserve">Table 7. 2SLS </w:t>
            </w:r>
            <w:r w:rsidR="00D567E8">
              <w:rPr>
                <w:b/>
                <w:bCs/>
                <w:color w:val="000000"/>
                <w:sz w:val="22"/>
                <w:szCs w:val="22"/>
              </w:rPr>
              <w:t xml:space="preserve">Second Stage </w:t>
            </w:r>
            <w:r>
              <w:rPr>
                <w:b/>
                <w:bCs/>
                <w:color w:val="000000"/>
                <w:sz w:val="22"/>
                <w:szCs w:val="22"/>
              </w:rPr>
              <w:t>Panel Fixed Effects Estimates</w:t>
            </w:r>
            <w:r>
              <w:rPr>
                <w:b/>
                <w:bCs/>
                <w:color w:val="000000"/>
                <w:sz w:val="22"/>
                <w:szCs w:val="22"/>
              </w:rPr>
              <w:br/>
              <w:t xml:space="preserve">Dependent Variable is Emp.  </w:t>
            </w:r>
            <w:proofErr w:type="spellStart"/>
            <w:r w:rsidRPr="003075D5">
              <w:rPr>
                <w:b/>
                <w:bCs/>
                <w:i/>
                <w:color w:val="000000"/>
                <w:sz w:val="22"/>
                <w:szCs w:val="22"/>
              </w:rPr>
              <w:t>FRate</w:t>
            </w:r>
            <w:proofErr w:type="spellEnd"/>
            <w:r>
              <w:rPr>
                <w:b/>
                <w:bCs/>
                <w:color w:val="000000"/>
                <w:sz w:val="22"/>
                <w:szCs w:val="22"/>
              </w:rPr>
              <w:t xml:space="preserve"> is Endogenous. Fixed Effects are for </w:t>
            </w:r>
            <w:r w:rsidR="00D567E8">
              <w:rPr>
                <w:b/>
                <w:bCs/>
                <w:color w:val="000000"/>
                <w:sz w:val="22"/>
                <w:szCs w:val="22"/>
              </w:rPr>
              <w:t>B</w:t>
            </w:r>
            <w:r>
              <w:rPr>
                <w:b/>
                <w:bCs/>
                <w:color w:val="000000"/>
                <w:sz w:val="22"/>
                <w:szCs w:val="22"/>
              </w:rPr>
              <w:t>oth State and Year.</w:t>
            </w:r>
          </w:p>
          <w:p w:rsidR="003075D5" w:rsidRDefault="003075D5" w:rsidP="003075D5">
            <w:pPr>
              <w:rPr>
                <w:b/>
                <w:bCs/>
                <w:color w:val="000000"/>
                <w:sz w:val="22"/>
                <w:szCs w:val="22"/>
              </w:rPr>
            </w:pPr>
          </w:p>
        </w:tc>
      </w:tr>
      <w:tr w:rsidR="003075D5" w:rsidTr="003075D5">
        <w:trPr>
          <w:trHeight w:val="288"/>
        </w:trPr>
        <w:tc>
          <w:tcPr>
            <w:tcW w:w="6345" w:type="dxa"/>
            <w:gridSpan w:val="6"/>
            <w:vMerge/>
            <w:tcBorders>
              <w:top w:val="nil"/>
              <w:left w:val="nil"/>
              <w:bottom w:val="nil"/>
              <w:right w:val="nil"/>
            </w:tcBorders>
            <w:vAlign w:val="center"/>
            <w:hideMark/>
          </w:tcPr>
          <w:p w:rsidR="003075D5" w:rsidRDefault="003075D5">
            <w:pPr>
              <w:rPr>
                <w:b/>
                <w:bCs/>
                <w:color w:val="000000"/>
                <w:sz w:val="22"/>
                <w:szCs w:val="22"/>
              </w:rPr>
            </w:pPr>
          </w:p>
        </w:tc>
      </w:tr>
      <w:tr w:rsidR="003075D5" w:rsidTr="003075D5">
        <w:trPr>
          <w:trHeight w:val="288"/>
        </w:trPr>
        <w:tc>
          <w:tcPr>
            <w:tcW w:w="6345" w:type="dxa"/>
            <w:gridSpan w:val="6"/>
            <w:vMerge/>
            <w:tcBorders>
              <w:top w:val="nil"/>
              <w:left w:val="nil"/>
              <w:bottom w:val="nil"/>
              <w:right w:val="nil"/>
            </w:tcBorders>
            <w:vAlign w:val="center"/>
            <w:hideMark/>
          </w:tcPr>
          <w:p w:rsidR="003075D5" w:rsidRDefault="003075D5">
            <w:pPr>
              <w:rPr>
                <w:b/>
                <w:bCs/>
                <w:color w:val="000000"/>
                <w:sz w:val="22"/>
                <w:szCs w:val="22"/>
              </w:rPr>
            </w:pPr>
          </w:p>
        </w:tc>
      </w:tr>
      <w:tr w:rsidR="00C746ED" w:rsidTr="00C746ED">
        <w:trPr>
          <w:trHeight w:val="315"/>
        </w:trPr>
        <w:tc>
          <w:tcPr>
            <w:tcW w:w="1510" w:type="dxa"/>
            <w:gridSpan w:val="2"/>
            <w:tcBorders>
              <w:top w:val="nil"/>
              <w:left w:val="nil"/>
              <w:bottom w:val="single" w:sz="8" w:space="0" w:color="auto"/>
              <w:right w:val="nil"/>
            </w:tcBorders>
            <w:shd w:val="clear" w:color="auto" w:fill="auto"/>
            <w:noWrap/>
            <w:vAlign w:val="center"/>
            <w:hideMark/>
          </w:tcPr>
          <w:p w:rsidR="00C746ED" w:rsidRDefault="00C746ED" w:rsidP="00C746ED">
            <w:pPr>
              <w:jc w:val="center"/>
              <w:rPr>
                <w:b/>
                <w:bCs/>
                <w:color w:val="000000"/>
                <w:sz w:val="22"/>
                <w:szCs w:val="22"/>
              </w:rPr>
            </w:pPr>
            <w:r>
              <w:rPr>
                <w:b/>
                <w:bCs/>
                <w:color w:val="000000"/>
                <w:sz w:val="22"/>
                <w:szCs w:val="22"/>
              </w:rPr>
              <w:t>Variable</w:t>
            </w:r>
          </w:p>
        </w:tc>
        <w:tc>
          <w:tcPr>
            <w:tcW w:w="271" w:type="dxa"/>
            <w:tcBorders>
              <w:top w:val="nil"/>
              <w:left w:val="nil"/>
              <w:bottom w:val="single" w:sz="8" w:space="0" w:color="auto"/>
              <w:right w:val="nil"/>
            </w:tcBorders>
            <w:shd w:val="clear" w:color="auto" w:fill="auto"/>
            <w:noWrap/>
            <w:vAlign w:val="bottom"/>
            <w:hideMark/>
          </w:tcPr>
          <w:p w:rsidR="00C746ED" w:rsidRDefault="00C746ED">
            <w:pPr>
              <w:rPr>
                <w:color w:val="000000"/>
                <w:sz w:val="22"/>
                <w:szCs w:val="22"/>
              </w:rPr>
            </w:pPr>
            <w:r>
              <w:rPr>
                <w:color w:val="000000"/>
                <w:sz w:val="22"/>
                <w:szCs w:val="22"/>
              </w:rPr>
              <w:t> </w:t>
            </w:r>
          </w:p>
        </w:tc>
        <w:tc>
          <w:tcPr>
            <w:tcW w:w="2553" w:type="dxa"/>
            <w:tcBorders>
              <w:top w:val="nil"/>
              <w:left w:val="nil"/>
              <w:bottom w:val="single" w:sz="8" w:space="0" w:color="auto"/>
              <w:right w:val="nil"/>
            </w:tcBorders>
            <w:shd w:val="clear" w:color="auto" w:fill="auto"/>
            <w:vAlign w:val="center"/>
            <w:hideMark/>
          </w:tcPr>
          <w:p w:rsidR="00C746ED" w:rsidRDefault="00C746ED">
            <w:pPr>
              <w:rPr>
                <w:color w:val="000000"/>
                <w:sz w:val="22"/>
                <w:szCs w:val="22"/>
              </w:rPr>
            </w:pPr>
            <w:r>
              <w:rPr>
                <w:color w:val="000000"/>
                <w:sz w:val="22"/>
                <w:szCs w:val="22"/>
              </w:rPr>
              <w:t> </w:t>
            </w:r>
          </w:p>
        </w:tc>
        <w:tc>
          <w:tcPr>
            <w:tcW w:w="2011" w:type="dxa"/>
            <w:gridSpan w:val="2"/>
            <w:tcBorders>
              <w:top w:val="nil"/>
              <w:left w:val="nil"/>
              <w:bottom w:val="single" w:sz="8" w:space="0" w:color="auto"/>
              <w:right w:val="nil"/>
            </w:tcBorders>
            <w:shd w:val="clear" w:color="auto" w:fill="auto"/>
            <w:noWrap/>
            <w:vAlign w:val="center"/>
            <w:hideMark/>
          </w:tcPr>
          <w:p w:rsidR="00C746ED" w:rsidRPr="00C746ED" w:rsidRDefault="00C746ED" w:rsidP="00C746ED">
            <w:pPr>
              <w:jc w:val="center"/>
              <w:rPr>
                <w:b/>
                <w:color w:val="000000"/>
                <w:sz w:val="22"/>
                <w:szCs w:val="22"/>
              </w:rPr>
            </w:pPr>
            <w:proofErr w:type="spellStart"/>
            <w:r w:rsidRPr="00C746ED">
              <w:rPr>
                <w:b/>
                <w:i/>
                <w:color w:val="000000"/>
                <w:sz w:val="22"/>
                <w:szCs w:val="22"/>
              </w:rPr>
              <w:t>Emp</w:t>
            </w:r>
            <w:proofErr w:type="spellEnd"/>
          </w:p>
        </w:tc>
      </w:tr>
      <w:tr w:rsidR="003075D5" w:rsidTr="003075D5">
        <w:trPr>
          <w:trHeight w:val="300"/>
        </w:trPr>
        <w:tc>
          <w:tcPr>
            <w:tcW w:w="1510" w:type="dxa"/>
            <w:gridSpan w:val="2"/>
            <w:tcBorders>
              <w:top w:val="single" w:sz="8" w:space="0" w:color="auto"/>
              <w:left w:val="nil"/>
              <w:bottom w:val="nil"/>
              <w:right w:val="nil"/>
            </w:tcBorders>
            <w:shd w:val="clear" w:color="auto" w:fill="auto"/>
            <w:noWrap/>
            <w:vAlign w:val="center"/>
            <w:hideMark/>
          </w:tcPr>
          <w:p w:rsidR="003075D5" w:rsidRDefault="006D1D1E" w:rsidP="006D1D1E">
            <w:pPr>
              <w:jc w:val="center"/>
              <w:rPr>
                <w:i/>
                <w:iCs/>
                <w:color w:val="000000"/>
                <w:sz w:val="22"/>
                <w:szCs w:val="22"/>
              </w:rPr>
            </w:pPr>
            <w:proofErr w:type="spellStart"/>
            <w:r>
              <w:rPr>
                <w:i/>
                <w:iCs/>
                <w:color w:val="000000"/>
                <w:sz w:val="22"/>
                <w:szCs w:val="22"/>
              </w:rPr>
              <w:t>F</w:t>
            </w:r>
            <w:r w:rsidR="003075D5">
              <w:rPr>
                <w:i/>
                <w:iCs/>
                <w:color w:val="000000"/>
                <w:sz w:val="22"/>
                <w:szCs w:val="22"/>
              </w:rPr>
              <w:t>Rate</w:t>
            </w:r>
            <w:proofErr w:type="spellEnd"/>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102.969</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3075D5">
        <w:trPr>
          <w:trHeight w:val="300"/>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(243.636)</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300"/>
        </w:trPr>
        <w:tc>
          <w:tcPr>
            <w:tcW w:w="1510" w:type="dxa"/>
            <w:gridSpan w:val="2"/>
            <w:tcBorders>
              <w:top w:val="nil"/>
              <w:left w:val="nil"/>
              <w:bottom w:val="nil"/>
              <w:right w:val="nil"/>
            </w:tcBorders>
            <w:shd w:val="clear" w:color="auto" w:fill="auto"/>
            <w:noWrap/>
            <w:vAlign w:val="center"/>
            <w:hideMark/>
          </w:tcPr>
          <w:p w:rsidR="003075D5" w:rsidRDefault="006D1D1E">
            <w:pPr>
              <w:jc w:val="center"/>
              <w:rPr>
                <w:i/>
                <w:iCs/>
                <w:color w:val="000000"/>
                <w:sz w:val="22"/>
                <w:szCs w:val="22"/>
              </w:rPr>
            </w:pPr>
            <w:proofErr w:type="spellStart"/>
            <w:r>
              <w:rPr>
                <w:i/>
                <w:iCs/>
                <w:color w:val="000000"/>
                <w:sz w:val="22"/>
                <w:szCs w:val="22"/>
              </w:rPr>
              <w:t>DifRate</w:t>
            </w:r>
            <w:proofErr w:type="spellEnd"/>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-26.851</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3075D5">
        <w:trPr>
          <w:trHeight w:val="300"/>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(31.700)</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300"/>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proofErr w:type="spellStart"/>
            <w:r>
              <w:rPr>
                <w:i/>
                <w:iCs/>
                <w:color w:val="000000"/>
                <w:sz w:val="22"/>
                <w:szCs w:val="22"/>
              </w:rPr>
              <w:t>Reg</w:t>
            </w:r>
            <w:proofErr w:type="spellEnd"/>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0.191</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3075D5">
        <w:trPr>
          <w:trHeight w:val="300"/>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(0.306)</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300"/>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Wage</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-0.040</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3075D5">
        <w:trPr>
          <w:trHeight w:val="300"/>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(0.029)</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300"/>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Metro</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0.041</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3075D5">
        <w:trPr>
          <w:trHeight w:val="300"/>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(0.0350)</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300"/>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PIT</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-57.287</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w:t>
            </w:r>
          </w:p>
        </w:tc>
      </w:tr>
      <w:tr w:rsidR="003075D5" w:rsidTr="003075D5">
        <w:trPr>
          <w:trHeight w:val="300"/>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(25.450)</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ST</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4.129</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(32.192)</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BA</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-0.138</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(0.087)</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Over65</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-0.443</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w:t>
            </w: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(0.115)</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MFG</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0.082</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w:t>
            </w: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(0.043)</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proofErr w:type="spellStart"/>
            <w:r>
              <w:rPr>
                <w:i/>
                <w:iCs/>
                <w:color w:val="000000"/>
                <w:sz w:val="22"/>
                <w:szCs w:val="22"/>
              </w:rPr>
              <w:t>PCInc</w:t>
            </w:r>
            <w:proofErr w:type="spellEnd"/>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0.096</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w:t>
            </w: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(0.037)</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HHI</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-27.606</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r>
              <w:rPr>
                <w:color w:val="000000"/>
                <w:sz w:val="22"/>
                <w:szCs w:val="22"/>
              </w:rPr>
              <w:t>**</w:t>
            </w: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(11.663)</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1510" w:type="dxa"/>
            <w:gridSpan w:val="2"/>
            <w:tcBorders>
              <w:top w:val="nil"/>
              <w:left w:val="nil"/>
              <w:bottom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Pop</w:t>
            </w:r>
          </w:p>
        </w:tc>
        <w:tc>
          <w:tcPr>
            <w:tcW w:w="2824" w:type="dxa"/>
            <w:gridSpan w:val="2"/>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0.199</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1026" w:type="dxa"/>
            <w:gridSpan w:val="2"/>
            <w:tcBorders>
              <w:top w:val="nil"/>
              <w:left w:val="nil"/>
              <w:bottom w:val="nil"/>
              <w:right w:val="nil"/>
            </w:tcBorders>
            <w:shd w:val="clear" w:color="auto" w:fill="auto"/>
            <w:noWrap/>
            <w:vAlign w:val="bottom"/>
            <w:hideMark/>
          </w:tcPr>
          <w:p w:rsidR="003075D5" w:rsidRDefault="003075D5">
            <w:pPr>
              <w:rPr>
                <w:color w:val="000000"/>
                <w:sz w:val="22"/>
                <w:szCs w:val="22"/>
              </w:rPr>
            </w:pPr>
          </w:p>
        </w:tc>
        <w:tc>
          <w:tcPr>
            <w:tcW w:w="2553" w:type="dxa"/>
            <w:tcBorders>
              <w:top w:val="nil"/>
              <w:left w:val="nil"/>
              <w:bottom w:val="nil"/>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(0.530)</w:t>
            </w:r>
          </w:p>
        </w:tc>
        <w:tc>
          <w:tcPr>
            <w:tcW w:w="591" w:type="dxa"/>
            <w:tcBorders>
              <w:top w:val="nil"/>
              <w:left w:val="nil"/>
              <w:bottom w:val="nil"/>
              <w:right w:val="nil"/>
            </w:tcBorders>
            <w:shd w:val="clear" w:color="auto" w:fill="auto"/>
            <w:noWrap/>
            <w:vAlign w:val="bottom"/>
            <w:hideMark/>
          </w:tcPr>
          <w:p w:rsidR="003075D5" w:rsidRDefault="003075D5">
            <w:pPr>
              <w:rPr>
                <w:color w:val="000000"/>
                <w:sz w:val="22"/>
                <w:szCs w:val="22"/>
              </w:rPr>
            </w:pPr>
          </w:p>
        </w:tc>
      </w:tr>
      <w:tr w:rsidR="003075D5" w:rsidTr="008418C3">
        <w:trPr>
          <w:trHeight w:val="288"/>
        </w:trPr>
        <w:tc>
          <w:tcPr>
            <w:tcW w:w="1510" w:type="dxa"/>
            <w:gridSpan w:val="2"/>
            <w:tcBorders>
              <w:top w:val="nil"/>
              <w:left w:val="nil"/>
              <w:bottom w:val="single" w:sz="4" w:space="0" w:color="auto"/>
              <w:right w:val="nil"/>
            </w:tcBorders>
            <w:shd w:val="clear" w:color="auto" w:fill="auto"/>
            <w:noWrap/>
            <w:vAlign w:val="center"/>
            <w:hideMark/>
          </w:tcPr>
          <w:p w:rsidR="003075D5" w:rsidRDefault="003075D5">
            <w:pPr>
              <w:jc w:val="center"/>
              <w:rPr>
                <w:i/>
                <w:iCs/>
                <w:color w:val="000000"/>
                <w:sz w:val="22"/>
                <w:szCs w:val="22"/>
              </w:rPr>
            </w:pPr>
          </w:p>
        </w:tc>
        <w:tc>
          <w:tcPr>
            <w:tcW w:w="2824" w:type="dxa"/>
            <w:gridSpan w:val="2"/>
            <w:tcBorders>
              <w:top w:val="nil"/>
              <w:left w:val="nil"/>
              <w:bottom w:val="single" w:sz="4" w:space="0" w:color="auto"/>
              <w:right w:val="nil"/>
            </w:tcBorders>
            <w:shd w:val="clear" w:color="auto" w:fill="auto"/>
            <w:vAlign w:val="center"/>
            <w:hideMark/>
          </w:tcPr>
          <w:p w:rsidR="003075D5" w:rsidRDefault="003075D5">
            <w:pPr>
              <w:rPr>
                <w:color w:val="000000"/>
                <w:sz w:val="22"/>
                <w:szCs w:val="22"/>
              </w:rPr>
            </w:pPr>
          </w:p>
        </w:tc>
        <w:tc>
          <w:tcPr>
            <w:tcW w:w="1420" w:type="dxa"/>
            <w:tcBorders>
              <w:top w:val="nil"/>
              <w:left w:val="nil"/>
              <w:bottom w:val="single" w:sz="4" w:space="0" w:color="auto"/>
              <w:right w:val="nil"/>
            </w:tcBorders>
            <w:shd w:val="clear" w:color="auto" w:fill="auto"/>
            <w:noWrap/>
            <w:vAlign w:val="bottom"/>
            <w:hideMark/>
          </w:tcPr>
          <w:p w:rsidR="003075D5" w:rsidRDefault="003075D5">
            <w:pPr>
              <w:rPr>
                <w:color w:val="000000"/>
                <w:sz w:val="22"/>
                <w:szCs w:val="22"/>
              </w:rPr>
            </w:pPr>
          </w:p>
        </w:tc>
        <w:tc>
          <w:tcPr>
            <w:tcW w:w="591" w:type="dxa"/>
            <w:tcBorders>
              <w:top w:val="nil"/>
              <w:left w:val="nil"/>
              <w:bottom w:val="single" w:sz="4" w:space="0" w:color="auto"/>
              <w:right w:val="nil"/>
            </w:tcBorders>
            <w:shd w:val="clear" w:color="auto" w:fill="auto"/>
            <w:noWrap/>
            <w:vAlign w:val="bottom"/>
            <w:hideMark/>
          </w:tcPr>
          <w:p w:rsidR="003075D5" w:rsidRDefault="003075D5">
            <w:pPr>
              <w:rPr>
                <w:color w:val="000000"/>
                <w:sz w:val="22"/>
                <w:szCs w:val="22"/>
              </w:rPr>
            </w:pPr>
          </w:p>
        </w:tc>
      </w:tr>
      <w:tr w:rsidR="003075D5" w:rsidTr="008418C3">
        <w:trPr>
          <w:trHeight w:val="288"/>
        </w:trPr>
        <w:tc>
          <w:tcPr>
            <w:tcW w:w="4334" w:type="dxa"/>
            <w:gridSpan w:val="4"/>
            <w:tcBorders>
              <w:top w:val="single" w:sz="4" w:space="0" w:color="auto"/>
              <w:left w:val="nil"/>
              <w:right w:val="nil"/>
            </w:tcBorders>
            <w:shd w:val="clear" w:color="auto" w:fill="auto"/>
            <w:noWrap/>
            <w:vAlign w:val="bottom"/>
            <w:hideMark/>
          </w:tcPr>
          <w:p w:rsidR="003075D5" w:rsidRDefault="003075D5" w:rsidP="00323421">
            <w:pPr>
              <w:rPr>
                <w:color w:val="000000"/>
                <w:sz w:val="22"/>
                <w:szCs w:val="22"/>
              </w:rPr>
            </w:pPr>
            <w:r>
              <w:rPr>
                <w:color w:val="000000"/>
                <w:sz w:val="22"/>
                <w:szCs w:val="22"/>
              </w:rPr>
              <w:t xml:space="preserve">Elasticity </w:t>
            </w:r>
            <w:r w:rsidR="00323421">
              <w:rPr>
                <w:color w:val="000000"/>
                <w:sz w:val="22"/>
                <w:szCs w:val="22"/>
              </w:rPr>
              <w:t xml:space="preserve">with respect to </w:t>
            </w:r>
            <w:proofErr w:type="spellStart"/>
            <w:r w:rsidRPr="00323421">
              <w:rPr>
                <w:i/>
                <w:color w:val="000000"/>
                <w:sz w:val="22"/>
                <w:szCs w:val="22"/>
              </w:rPr>
              <w:t>FRate</w:t>
            </w:r>
            <w:proofErr w:type="spellEnd"/>
          </w:p>
        </w:tc>
        <w:tc>
          <w:tcPr>
            <w:tcW w:w="1420" w:type="dxa"/>
            <w:tcBorders>
              <w:top w:val="single" w:sz="4" w:space="0" w:color="auto"/>
              <w:left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0.179</w:t>
            </w:r>
          </w:p>
        </w:tc>
        <w:tc>
          <w:tcPr>
            <w:tcW w:w="591" w:type="dxa"/>
            <w:tcBorders>
              <w:top w:val="single" w:sz="4" w:space="0" w:color="auto"/>
              <w:left w:val="nil"/>
              <w:right w:val="nil"/>
            </w:tcBorders>
            <w:shd w:val="clear" w:color="auto" w:fill="auto"/>
            <w:noWrap/>
            <w:vAlign w:val="bottom"/>
            <w:hideMark/>
          </w:tcPr>
          <w:p w:rsidR="003075D5" w:rsidRDefault="003075D5">
            <w:pPr>
              <w:rPr>
                <w:color w:val="000000"/>
                <w:sz w:val="22"/>
                <w:szCs w:val="22"/>
              </w:rPr>
            </w:pPr>
            <w:r>
              <w:rPr>
                <w:color w:val="000000"/>
                <w:sz w:val="22"/>
                <w:szCs w:val="22"/>
              </w:rPr>
              <w:t xml:space="preserve">  </w:t>
            </w:r>
          </w:p>
        </w:tc>
      </w:tr>
      <w:tr w:rsidR="003075D5" w:rsidTr="008418C3">
        <w:trPr>
          <w:trHeight w:val="300"/>
        </w:trPr>
        <w:tc>
          <w:tcPr>
            <w:tcW w:w="1510" w:type="dxa"/>
            <w:gridSpan w:val="2"/>
            <w:tcBorders>
              <w:top w:val="nil"/>
              <w:left w:val="nil"/>
              <w:right w:val="nil"/>
            </w:tcBorders>
            <w:shd w:val="clear" w:color="auto" w:fill="auto"/>
            <w:noWrap/>
            <w:vAlign w:val="center"/>
            <w:hideMark/>
          </w:tcPr>
          <w:p w:rsidR="003075D5" w:rsidRDefault="003075D5">
            <w:pPr>
              <w:jc w:val="center"/>
              <w:rPr>
                <w:i/>
                <w:iCs/>
                <w:color w:val="000000"/>
                <w:sz w:val="22"/>
                <w:szCs w:val="22"/>
              </w:rPr>
            </w:pPr>
            <w:r>
              <w:rPr>
                <w:i/>
                <w:iCs/>
                <w:color w:val="000000"/>
                <w:sz w:val="22"/>
                <w:szCs w:val="22"/>
              </w:rPr>
              <w:t> </w:t>
            </w:r>
          </w:p>
        </w:tc>
        <w:tc>
          <w:tcPr>
            <w:tcW w:w="2824" w:type="dxa"/>
            <w:gridSpan w:val="2"/>
            <w:tcBorders>
              <w:top w:val="nil"/>
              <w:left w:val="nil"/>
              <w:right w:val="nil"/>
            </w:tcBorders>
            <w:shd w:val="clear" w:color="auto" w:fill="auto"/>
            <w:vAlign w:val="center"/>
            <w:hideMark/>
          </w:tcPr>
          <w:p w:rsidR="003075D5" w:rsidRDefault="003075D5">
            <w:pPr>
              <w:rPr>
                <w:color w:val="000000"/>
                <w:sz w:val="22"/>
                <w:szCs w:val="22"/>
              </w:rPr>
            </w:pPr>
            <w:r>
              <w:rPr>
                <w:color w:val="000000"/>
                <w:sz w:val="22"/>
                <w:szCs w:val="22"/>
              </w:rPr>
              <w:t> </w:t>
            </w:r>
          </w:p>
        </w:tc>
        <w:tc>
          <w:tcPr>
            <w:tcW w:w="1420" w:type="dxa"/>
            <w:tcBorders>
              <w:top w:val="nil"/>
              <w:left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(0.5007)</w:t>
            </w:r>
          </w:p>
        </w:tc>
        <w:tc>
          <w:tcPr>
            <w:tcW w:w="591" w:type="dxa"/>
            <w:tcBorders>
              <w:top w:val="nil"/>
              <w:left w:val="nil"/>
              <w:right w:val="nil"/>
            </w:tcBorders>
            <w:shd w:val="clear" w:color="auto" w:fill="auto"/>
            <w:noWrap/>
            <w:vAlign w:val="bottom"/>
            <w:hideMark/>
          </w:tcPr>
          <w:p w:rsidR="003075D5" w:rsidRDefault="003075D5">
            <w:pPr>
              <w:rPr>
                <w:color w:val="000000"/>
                <w:sz w:val="22"/>
                <w:szCs w:val="22"/>
              </w:rPr>
            </w:pPr>
            <w:r>
              <w:rPr>
                <w:color w:val="000000"/>
                <w:sz w:val="22"/>
                <w:szCs w:val="22"/>
              </w:rPr>
              <w:t> </w:t>
            </w:r>
          </w:p>
        </w:tc>
      </w:tr>
      <w:tr w:rsidR="003075D5" w:rsidTr="008418C3">
        <w:trPr>
          <w:trHeight w:val="288"/>
        </w:trPr>
        <w:tc>
          <w:tcPr>
            <w:tcW w:w="4334" w:type="dxa"/>
            <w:gridSpan w:val="4"/>
            <w:tcBorders>
              <w:left w:val="nil"/>
              <w:right w:val="nil"/>
            </w:tcBorders>
            <w:shd w:val="clear" w:color="auto" w:fill="auto"/>
            <w:noWrap/>
            <w:vAlign w:val="bottom"/>
            <w:hideMark/>
          </w:tcPr>
          <w:p w:rsidR="003075D5" w:rsidRDefault="003075D5" w:rsidP="003075D5">
            <w:pPr>
              <w:rPr>
                <w:color w:val="000000"/>
                <w:sz w:val="22"/>
                <w:szCs w:val="22"/>
              </w:rPr>
            </w:pPr>
            <w:r>
              <w:rPr>
                <w:color w:val="000000"/>
                <w:sz w:val="22"/>
                <w:szCs w:val="22"/>
              </w:rPr>
              <w:t>Number of Observations</w:t>
            </w:r>
          </w:p>
        </w:tc>
        <w:tc>
          <w:tcPr>
            <w:tcW w:w="1420" w:type="dxa"/>
            <w:tcBorders>
              <w:left w:val="nil"/>
              <w:right w:val="nil"/>
            </w:tcBorders>
            <w:shd w:val="clear" w:color="auto" w:fill="auto"/>
            <w:noWrap/>
            <w:vAlign w:val="bottom"/>
            <w:hideMark/>
          </w:tcPr>
          <w:p w:rsidR="003075D5" w:rsidRDefault="003075D5">
            <w:pPr>
              <w:jc w:val="right"/>
              <w:rPr>
                <w:color w:val="000000"/>
                <w:sz w:val="22"/>
                <w:szCs w:val="22"/>
              </w:rPr>
            </w:pPr>
            <w:r>
              <w:rPr>
                <w:color w:val="000000"/>
                <w:sz w:val="22"/>
                <w:szCs w:val="22"/>
              </w:rPr>
              <w:t>755</w:t>
            </w:r>
          </w:p>
        </w:tc>
        <w:tc>
          <w:tcPr>
            <w:tcW w:w="591" w:type="dxa"/>
            <w:tcBorders>
              <w:left w:val="nil"/>
              <w:right w:val="nil"/>
            </w:tcBorders>
            <w:shd w:val="clear" w:color="auto" w:fill="auto"/>
            <w:noWrap/>
            <w:vAlign w:val="bottom"/>
            <w:hideMark/>
          </w:tcPr>
          <w:p w:rsidR="003075D5" w:rsidRDefault="003075D5">
            <w:pPr>
              <w:rPr>
                <w:color w:val="000000"/>
                <w:sz w:val="22"/>
                <w:szCs w:val="22"/>
              </w:rPr>
            </w:pPr>
          </w:p>
        </w:tc>
      </w:tr>
      <w:tr w:rsidR="003075D5" w:rsidTr="008418C3">
        <w:trPr>
          <w:trHeight w:val="288"/>
        </w:trPr>
        <w:tc>
          <w:tcPr>
            <w:tcW w:w="4334" w:type="dxa"/>
            <w:gridSpan w:val="4"/>
            <w:tcBorders>
              <w:top w:val="nil"/>
              <w:left w:val="nil"/>
              <w:bottom w:val="single" w:sz="4" w:space="0" w:color="auto"/>
              <w:right w:val="nil"/>
            </w:tcBorders>
            <w:shd w:val="clear" w:color="auto" w:fill="auto"/>
            <w:noWrap/>
            <w:vAlign w:val="center"/>
            <w:hideMark/>
          </w:tcPr>
          <w:p w:rsidR="003075D5" w:rsidRDefault="003075D5" w:rsidP="003075D5">
            <w:pPr>
              <w:rPr>
                <w:i/>
                <w:iCs/>
                <w:color w:val="000000"/>
                <w:sz w:val="22"/>
                <w:szCs w:val="22"/>
              </w:rPr>
            </w:pPr>
            <w:r>
              <w:rPr>
                <w:i/>
                <w:iCs/>
                <w:color w:val="000000"/>
                <w:sz w:val="22"/>
                <w:szCs w:val="22"/>
              </w:rPr>
              <w:t>R</w:t>
            </w:r>
            <w:r w:rsidRPr="008418C3">
              <w:rPr>
                <w:i/>
                <w:iCs/>
                <w:color w:val="000000"/>
                <w:sz w:val="22"/>
                <w:szCs w:val="22"/>
                <w:vertAlign w:val="superscript"/>
              </w:rPr>
              <w:t>2</w:t>
            </w:r>
          </w:p>
        </w:tc>
        <w:tc>
          <w:tcPr>
            <w:tcW w:w="1420" w:type="dxa"/>
            <w:tcBorders>
              <w:top w:val="nil"/>
              <w:left w:val="nil"/>
              <w:bottom w:val="single" w:sz="4" w:space="0" w:color="auto"/>
              <w:right w:val="nil"/>
            </w:tcBorders>
            <w:shd w:val="clear" w:color="auto" w:fill="auto"/>
            <w:noWrap/>
            <w:vAlign w:val="bottom"/>
            <w:hideMark/>
          </w:tcPr>
          <w:p w:rsidR="003075D5" w:rsidRDefault="003075D5">
            <w:pPr>
              <w:jc w:val="right"/>
              <w:rPr>
                <w:color w:val="000000"/>
                <w:sz w:val="22"/>
                <w:szCs w:val="22"/>
              </w:rPr>
            </w:pPr>
            <w:r>
              <w:rPr>
                <w:color w:val="000000"/>
                <w:sz w:val="22"/>
                <w:szCs w:val="22"/>
              </w:rPr>
              <w:t>0.9889</w:t>
            </w:r>
          </w:p>
        </w:tc>
        <w:tc>
          <w:tcPr>
            <w:tcW w:w="591" w:type="dxa"/>
            <w:tcBorders>
              <w:top w:val="nil"/>
              <w:left w:val="nil"/>
              <w:bottom w:val="single" w:sz="4" w:space="0" w:color="auto"/>
              <w:right w:val="nil"/>
            </w:tcBorders>
            <w:shd w:val="clear" w:color="auto" w:fill="auto"/>
            <w:noWrap/>
            <w:vAlign w:val="bottom"/>
            <w:hideMark/>
          </w:tcPr>
          <w:p w:rsidR="003075D5" w:rsidRDefault="003075D5">
            <w:pPr>
              <w:rPr>
                <w:color w:val="000000"/>
                <w:sz w:val="22"/>
                <w:szCs w:val="22"/>
              </w:rPr>
            </w:pPr>
          </w:p>
        </w:tc>
      </w:tr>
      <w:tr w:rsidR="003075D5" w:rsidTr="008418C3">
        <w:trPr>
          <w:trHeight w:val="288"/>
        </w:trPr>
        <w:tc>
          <w:tcPr>
            <w:tcW w:w="755" w:type="dxa"/>
            <w:tcBorders>
              <w:top w:val="single" w:sz="4" w:space="0" w:color="auto"/>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755" w:type="dxa"/>
            <w:tcBorders>
              <w:top w:val="single" w:sz="4" w:space="0" w:color="auto"/>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271" w:type="dxa"/>
            <w:tcBorders>
              <w:top w:val="single" w:sz="4" w:space="0" w:color="auto"/>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2553" w:type="dxa"/>
            <w:tcBorders>
              <w:top w:val="single" w:sz="4" w:space="0" w:color="auto"/>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1420" w:type="dxa"/>
            <w:tcBorders>
              <w:top w:val="single" w:sz="4" w:space="0" w:color="auto"/>
              <w:left w:val="nil"/>
              <w:bottom w:val="nil"/>
              <w:right w:val="nil"/>
            </w:tcBorders>
            <w:shd w:val="clear" w:color="auto" w:fill="auto"/>
            <w:noWrap/>
            <w:vAlign w:val="bottom"/>
            <w:hideMark/>
          </w:tcPr>
          <w:p w:rsidR="003075D5" w:rsidRDefault="003075D5">
            <w:pPr>
              <w:rPr>
                <w:color w:val="000000"/>
                <w:sz w:val="22"/>
                <w:szCs w:val="22"/>
              </w:rPr>
            </w:pPr>
          </w:p>
        </w:tc>
        <w:tc>
          <w:tcPr>
            <w:tcW w:w="591" w:type="dxa"/>
            <w:tcBorders>
              <w:top w:val="single" w:sz="4" w:space="0" w:color="auto"/>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r>
      <w:tr w:rsidR="003075D5" w:rsidTr="003075D5">
        <w:trPr>
          <w:trHeight w:val="288"/>
        </w:trPr>
        <w:tc>
          <w:tcPr>
            <w:tcW w:w="6345" w:type="dxa"/>
            <w:gridSpan w:val="6"/>
            <w:tcBorders>
              <w:top w:val="nil"/>
              <w:left w:val="nil"/>
              <w:bottom w:val="nil"/>
              <w:right w:val="nil"/>
            </w:tcBorders>
            <w:shd w:val="clear" w:color="auto" w:fill="auto"/>
            <w:noWrap/>
            <w:vAlign w:val="bottom"/>
            <w:hideMark/>
          </w:tcPr>
          <w:p w:rsidR="003075D5" w:rsidRDefault="003075D5" w:rsidP="00C746ED">
            <w:pPr>
              <w:rPr>
                <w:color w:val="000000"/>
                <w:sz w:val="22"/>
                <w:szCs w:val="22"/>
              </w:rPr>
            </w:pPr>
            <w:r>
              <w:rPr>
                <w:color w:val="000000"/>
                <w:sz w:val="22"/>
                <w:szCs w:val="22"/>
              </w:rPr>
              <w:t xml:space="preserve">Note:  </w:t>
            </w:r>
            <w:r w:rsidR="00C746ED">
              <w:rPr>
                <w:color w:val="000000"/>
                <w:sz w:val="22"/>
                <w:szCs w:val="22"/>
              </w:rPr>
              <w:t>Robust standard errors</w:t>
            </w:r>
            <w:r>
              <w:rPr>
                <w:color w:val="000000"/>
                <w:sz w:val="22"/>
                <w:szCs w:val="22"/>
              </w:rPr>
              <w:t xml:space="preserve"> in parentheses</w:t>
            </w:r>
            <w:r w:rsidR="00C746ED">
              <w:rPr>
                <w:color w:val="000000"/>
                <w:sz w:val="22"/>
                <w:szCs w:val="22"/>
              </w:rPr>
              <w:t>.</w:t>
            </w:r>
          </w:p>
        </w:tc>
      </w:tr>
      <w:tr w:rsidR="003075D5" w:rsidTr="003075D5">
        <w:trPr>
          <w:trHeight w:val="288"/>
        </w:trPr>
        <w:tc>
          <w:tcPr>
            <w:tcW w:w="4334" w:type="dxa"/>
            <w:gridSpan w:val="4"/>
            <w:tcBorders>
              <w:top w:val="nil"/>
              <w:left w:val="nil"/>
              <w:bottom w:val="nil"/>
              <w:right w:val="nil"/>
            </w:tcBorders>
            <w:shd w:val="clear" w:color="auto" w:fill="auto"/>
            <w:noWrap/>
            <w:vAlign w:val="center"/>
            <w:hideMark/>
          </w:tcPr>
          <w:p w:rsidR="003075D5" w:rsidRDefault="003075D5">
            <w:pPr>
              <w:rPr>
                <w:color w:val="000000"/>
                <w:sz w:val="22"/>
                <w:szCs w:val="22"/>
              </w:rPr>
            </w:pPr>
            <w:r>
              <w:rPr>
                <w:color w:val="000000"/>
                <w:sz w:val="22"/>
                <w:szCs w:val="22"/>
              </w:rPr>
              <w:t>* denotes significance at the .10 level</w:t>
            </w:r>
          </w:p>
        </w:tc>
        <w:tc>
          <w:tcPr>
            <w:tcW w:w="1420"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591"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r>
      <w:tr w:rsidR="003075D5" w:rsidTr="003075D5">
        <w:trPr>
          <w:trHeight w:val="288"/>
        </w:trPr>
        <w:tc>
          <w:tcPr>
            <w:tcW w:w="4334" w:type="dxa"/>
            <w:gridSpan w:val="4"/>
            <w:tcBorders>
              <w:top w:val="nil"/>
              <w:left w:val="nil"/>
              <w:bottom w:val="nil"/>
              <w:right w:val="nil"/>
            </w:tcBorders>
            <w:shd w:val="clear" w:color="auto" w:fill="auto"/>
            <w:noWrap/>
            <w:vAlign w:val="center"/>
            <w:hideMark/>
          </w:tcPr>
          <w:p w:rsidR="003075D5" w:rsidRDefault="003075D5">
            <w:pPr>
              <w:rPr>
                <w:color w:val="000000"/>
                <w:sz w:val="22"/>
                <w:szCs w:val="22"/>
              </w:rPr>
            </w:pPr>
            <w:r>
              <w:rPr>
                <w:color w:val="000000"/>
                <w:sz w:val="22"/>
                <w:szCs w:val="22"/>
              </w:rPr>
              <w:t>** denotes significance at the .05 level</w:t>
            </w:r>
          </w:p>
        </w:tc>
        <w:tc>
          <w:tcPr>
            <w:tcW w:w="1420"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591"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r>
      <w:tr w:rsidR="003075D5" w:rsidTr="003075D5">
        <w:trPr>
          <w:trHeight w:val="288"/>
        </w:trPr>
        <w:tc>
          <w:tcPr>
            <w:tcW w:w="4334" w:type="dxa"/>
            <w:gridSpan w:val="4"/>
            <w:tcBorders>
              <w:top w:val="nil"/>
              <w:left w:val="nil"/>
              <w:bottom w:val="nil"/>
              <w:right w:val="nil"/>
            </w:tcBorders>
            <w:shd w:val="clear" w:color="auto" w:fill="auto"/>
            <w:noWrap/>
            <w:vAlign w:val="center"/>
            <w:hideMark/>
          </w:tcPr>
          <w:p w:rsidR="003075D5" w:rsidRDefault="003075D5">
            <w:pPr>
              <w:rPr>
                <w:color w:val="000000"/>
                <w:sz w:val="22"/>
                <w:szCs w:val="22"/>
              </w:rPr>
            </w:pPr>
            <w:r>
              <w:rPr>
                <w:color w:val="000000"/>
                <w:sz w:val="22"/>
                <w:szCs w:val="22"/>
              </w:rPr>
              <w:t>*** denotes significance at the .01 level</w:t>
            </w:r>
          </w:p>
        </w:tc>
        <w:tc>
          <w:tcPr>
            <w:tcW w:w="1420"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591"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r>
      <w:tr w:rsidR="003075D5" w:rsidTr="003075D5">
        <w:trPr>
          <w:trHeight w:val="288"/>
        </w:trPr>
        <w:tc>
          <w:tcPr>
            <w:tcW w:w="755"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755"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271"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2553"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c>
          <w:tcPr>
            <w:tcW w:w="591" w:type="dxa"/>
            <w:tcBorders>
              <w:top w:val="nil"/>
              <w:left w:val="nil"/>
              <w:bottom w:val="nil"/>
              <w:right w:val="nil"/>
            </w:tcBorders>
            <w:shd w:val="clear" w:color="auto" w:fill="auto"/>
            <w:noWrap/>
            <w:vAlign w:val="bottom"/>
            <w:hideMark/>
          </w:tcPr>
          <w:p w:rsidR="003075D5" w:rsidRDefault="003075D5">
            <w:pPr>
              <w:rPr>
                <w:rFonts w:ascii="Calibri" w:hAnsi="Calibri"/>
                <w:color w:val="000000"/>
                <w:sz w:val="22"/>
                <w:szCs w:val="22"/>
              </w:rPr>
            </w:pPr>
          </w:p>
        </w:tc>
      </w:tr>
    </w:tbl>
    <w:p w:rsidR="009A25C4" w:rsidRDefault="009A25C4" w:rsidP="00B26DBB"/>
    <w:sectPr w:rsidR="009A25C4" w:rsidSect="00C17617">
      <w:pgSz w:w="12240" w:h="15840"/>
      <w:pgMar w:top="1440" w:right="54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59" w:rsidRDefault="00CC6859">
      <w:r>
        <w:separator/>
      </w:r>
    </w:p>
  </w:endnote>
  <w:endnote w:type="continuationSeparator" w:id="0">
    <w:p w:rsidR="00CC6859" w:rsidRDefault="00CC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9" w:rsidRDefault="00CC6859" w:rsidP="00C37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859" w:rsidRDefault="00CC6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59" w:rsidRDefault="00CC6859" w:rsidP="00C37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79A8">
      <w:rPr>
        <w:rStyle w:val="PageNumber"/>
        <w:noProof/>
      </w:rPr>
      <w:t>40</w:t>
    </w:r>
    <w:r>
      <w:rPr>
        <w:rStyle w:val="PageNumber"/>
      </w:rPr>
      <w:fldChar w:fldCharType="end"/>
    </w:r>
  </w:p>
  <w:p w:rsidR="00CC6859" w:rsidRDefault="00CC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59" w:rsidRDefault="00CC6859">
      <w:r>
        <w:separator/>
      </w:r>
    </w:p>
  </w:footnote>
  <w:footnote w:type="continuationSeparator" w:id="0">
    <w:p w:rsidR="00CC6859" w:rsidRDefault="00CC6859">
      <w:r>
        <w:continuationSeparator/>
      </w:r>
    </w:p>
  </w:footnote>
  <w:footnote w:id="1">
    <w:p w:rsidR="00CC6859" w:rsidRDefault="00CC6859" w:rsidP="0040446D">
      <w:pPr>
        <w:pStyle w:val="FootnoteText"/>
        <w:ind w:right="1440"/>
      </w:pPr>
      <w:r>
        <w:rPr>
          <w:rStyle w:val="FootnoteReference"/>
        </w:rPr>
        <w:footnoteRef/>
      </w:r>
      <w:r>
        <w:t xml:space="preserve"> </w:t>
      </w:r>
      <w:proofErr w:type="spellStart"/>
      <w:r>
        <w:t>Papke</w:t>
      </w:r>
      <w:proofErr w:type="spellEnd"/>
      <w:r>
        <w:t xml:space="preserve"> (1987) is a notable exception.</w:t>
      </w:r>
    </w:p>
  </w:footnote>
  <w:footnote w:id="2">
    <w:p w:rsidR="00CC6859" w:rsidRDefault="00CC6859" w:rsidP="0040446D">
      <w:pPr>
        <w:pStyle w:val="FootnoteText"/>
        <w:ind w:right="1440"/>
      </w:pPr>
      <w:r>
        <w:rPr>
          <w:rStyle w:val="FootnoteReference"/>
        </w:rPr>
        <w:footnoteRef/>
      </w:r>
      <w:r>
        <w:t xml:space="preserve"> Foreign firms are defined to include all firms operating in a state but domiciled in another.  Firms operating in the state in which they are domiciled are defined as domestic firms.</w:t>
      </w:r>
    </w:p>
  </w:footnote>
  <w:footnote w:id="3">
    <w:p w:rsidR="00CC6859" w:rsidRDefault="00CC6859" w:rsidP="00AD247B">
      <w:pPr>
        <w:pStyle w:val="FootnoteText"/>
        <w:ind w:right="1440"/>
      </w:pPr>
      <w:r>
        <w:rPr>
          <w:rStyle w:val="FootnoteReference"/>
        </w:rPr>
        <w:footnoteRef/>
      </w:r>
      <w:r>
        <w:t xml:space="preserve"> While almost every state has a premium tax, some have both a premium tax and an income tax (e.g. New York).  However, because the premium tax is always greater than the income tax (and the income tax is creditable against the premium tax), in this paper we refer to the premium tax as the method of taxing the insurance industry.  Oregon presents an exception as it only has an income tax.  We estimate an effective “premium tax” rate for Oregon as the taxes paid by foreign companies as a percent of premiums. Excluding Oregon from the analysis does not change the results we report.</w:t>
      </w:r>
    </w:p>
  </w:footnote>
  <w:footnote w:id="4">
    <w:p w:rsidR="00CC6859" w:rsidRDefault="00CC6859" w:rsidP="00AD247B">
      <w:pPr>
        <w:ind w:right="1440"/>
      </w:pPr>
      <w:r w:rsidRPr="00E568FE">
        <w:rPr>
          <w:rStyle w:val="FootnoteReference"/>
          <w:sz w:val="20"/>
          <w:szCs w:val="20"/>
        </w:rPr>
        <w:footnoteRef/>
      </w:r>
      <w:r w:rsidRPr="00E568FE">
        <w:rPr>
          <w:sz w:val="20"/>
          <w:szCs w:val="20"/>
        </w:rPr>
        <w:t xml:space="preserve"> </w:t>
      </w:r>
      <w:proofErr w:type="spellStart"/>
      <w:r w:rsidRPr="00E568FE">
        <w:rPr>
          <w:sz w:val="20"/>
          <w:szCs w:val="20"/>
        </w:rPr>
        <w:t>Neubig</w:t>
      </w:r>
      <w:proofErr w:type="spellEnd"/>
      <w:r w:rsidRPr="00E568FE">
        <w:rPr>
          <w:sz w:val="20"/>
          <w:szCs w:val="20"/>
        </w:rPr>
        <w:t xml:space="preserve"> and </w:t>
      </w:r>
      <w:proofErr w:type="spellStart"/>
      <w:r w:rsidRPr="00E568FE">
        <w:rPr>
          <w:sz w:val="20"/>
          <w:szCs w:val="20"/>
        </w:rPr>
        <w:t>Vlaisavljevich</w:t>
      </w:r>
      <w:proofErr w:type="spellEnd"/>
      <w:r w:rsidRPr="00E568FE">
        <w:rPr>
          <w:sz w:val="20"/>
          <w:szCs w:val="20"/>
        </w:rPr>
        <w:t xml:space="preserve"> (1992) provide a thorough review of the non-federal taxes facing insurance companies</w:t>
      </w:r>
      <w:r>
        <w:rPr>
          <w:sz w:val="20"/>
          <w:szCs w:val="20"/>
        </w:rPr>
        <w:t>.</w:t>
      </w:r>
      <w:r w:rsidRPr="00E568FE">
        <w:rPr>
          <w:sz w:val="20"/>
          <w:szCs w:val="20"/>
        </w:rPr>
        <w:t xml:space="preserve"> </w:t>
      </w:r>
      <w:r>
        <w:rPr>
          <w:sz w:val="20"/>
          <w:szCs w:val="20"/>
        </w:rPr>
        <w:t xml:space="preserve"> While insurance premium tax rates are in the 2.5 percent range, </w:t>
      </w:r>
      <w:proofErr w:type="spellStart"/>
      <w:r>
        <w:rPr>
          <w:sz w:val="20"/>
          <w:szCs w:val="20"/>
        </w:rPr>
        <w:t>Neubig</w:t>
      </w:r>
      <w:proofErr w:type="spellEnd"/>
      <w:r>
        <w:rPr>
          <w:sz w:val="20"/>
          <w:szCs w:val="20"/>
        </w:rPr>
        <w:t xml:space="preserve"> et al. (2002) estimate that the premium tax is almost twice what a life insurance company would pay if it were subject to the state corporate income tax.  </w:t>
      </w:r>
    </w:p>
  </w:footnote>
  <w:footnote w:id="5">
    <w:p w:rsidR="00CC6859" w:rsidRDefault="00CC6859" w:rsidP="00AD247B">
      <w:pPr>
        <w:pStyle w:val="FootnoteText"/>
        <w:ind w:right="1440"/>
      </w:pPr>
      <w:r>
        <w:rPr>
          <w:rStyle w:val="FootnoteReference"/>
        </w:rPr>
        <w:footnoteRef/>
      </w:r>
      <w:r>
        <w:t xml:space="preserve"> Congress granted the states broad authority to tax and </w:t>
      </w:r>
      <w:proofErr w:type="gramStart"/>
      <w:r>
        <w:t>regulate</w:t>
      </w:r>
      <w:proofErr w:type="gramEnd"/>
      <w:r>
        <w:t xml:space="preserve"> the insurance industry free from typical commerce power restrictions in the McCarran-Ferguson Act in 1945.  See for example, Kimball and Boyce (1958) for a description of the law and how it affected insurance regulation.</w:t>
      </w:r>
    </w:p>
  </w:footnote>
  <w:footnote w:id="6">
    <w:p w:rsidR="00CC6859" w:rsidRPr="00A849EC" w:rsidRDefault="00CC6859" w:rsidP="00AD247B">
      <w:pPr>
        <w:pStyle w:val="FootnoteText"/>
        <w:ind w:right="1440"/>
        <w:jc w:val="both"/>
      </w:pPr>
      <w:r>
        <w:rPr>
          <w:rStyle w:val="FootnoteReference"/>
        </w:rPr>
        <w:footnoteRef/>
      </w:r>
      <w:r>
        <w:rPr>
          <w:vertAlign w:val="superscript"/>
        </w:rPr>
        <w:t xml:space="preserve"> </w:t>
      </w:r>
      <w:r>
        <w:t xml:space="preserve">The commerce clause generally restricts states from taxing out-of-state companies at differentially higher rates.  See </w:t>
      </w:r>
      <w:r>
        <w:rPr>
          <w:i/>
        </w:rPr>
        <w:t>Bacchus Imports v. Dias,</w:t>
      </w:r>
      <w:r>
        <w:t xml:space="preserve"> 468 U.S. 263 (1984).  However, the Supreme Court held in </w:t>
      </w:r>
      <w:r w:rsidRPr="00A849EC">
        <w:rPr>
          <w:i/>
        </w:rPr>
        <w:t>Metropolitan</w:t>
      </w:r>
      <w:r w:rsidRPr="00173C45">
        <w:rPr>
          <w:i/>
        </w:rPr>
        <w:t xml:space="preserve"> Life Insurance Co. v. Ward</w:t>
      </w:r>
      <w:r>
        <w:rPr>
          <w:i/>
        </w:rPr>
        <w:t xml:space="preserve"> </w:t>
      </w:r>
      <w:r>
        <w:t xml:space="preserve">470 U.S. 869 (1985) that states could discriminate against foreign companies, but only if they had a rational basis for doing so. In the </w:t>
      </w:r>
      <w:r w:rsidRPr="00173C45">
        <w:rPr>
          <w:i/>
        </w:rPr>
        <w:t>Ward</w:t>
      </w:r>
      <w:r>
        <w:t xml:space="preserve"> case, the court held that Alabama had failed to provide a rational basis for discrimination.  As a result many states changed their tax laws over time to reduce the discrimination between foreign and domestic companies.</w:t>
      </w:r>
    </w:p>
  </w:footnote>
  <w:footnote w:id="7">
    <w:p w:rsidR="00CC6859" w:rsidRDefault="00CC6859" w:rsidP="00AD247B">
      <w:pPr>
        <w:pStyle w:val="FootnoteText"/>
        <w:ind w:right="1440"/>
        <w:jc w:val="both"/>
      </w:pPr>
      <w:r>
        <w:rPr>
          <w:rStyle w:val="FootnoteReference"/>
        </w:rPr>
        <w:footnoteRef/>
      </w:r>
      <w:r>
        <w:t xml:space="preserve"> The Supreme Court upheld the use of retaliatory taxation by the states in </w:t>
      </w:r>
      <w:r>
        <w:rPr>
          <w:i/>
        </w:rPr>
        <w:t>Western &amp; Southern Life Insurance Company v. State Board of Equalization</w:t>
      </w:r>
      <w:r>
        <w:t xml:space="preserve"> 451 U.S. 648 (1981) based on the notion that Congress gave power to the states to tax and removed commerce power restrictions.</w:t>
      </w:r>
    </w:p>
  </w:footnote>
  <w:footnote w:id="8">
    <w:p w:rsidR="00CC6859" w:rsidRDefault="00CC6859" w:rsidP="00AD247B">
      <w:pPr>
        <w:pStyle w:val="FootnoteText"/>
        <w:ind w:right="1440"/>
      </w:pPr>
      <w:r>
        <w:rPr>
          <w:rStyle w:val="FootnoteReference"/>
        </w:rPr>
        <w:footnoteRef/>
      </w:r>
      <w:r>
        <w:t xml:space="preserve"> Insurance companies can be chartered (domiciled) in only one state.</w:t>
      </w:r>
    </w:p>
  </w:footnote>
  <w:footnote w:id="9">
    <w:p w:rsidR="00CC6859" w:rsidRDefault="00CC6859" w:rsidP="00AD247B">
      <w:pPr>
        <w:pStyle w:val="FootnoteText"/>
        <w:ind w:right="1440"/>
      </w:pPr>
      <w:r>
        <w:rPr>
          <w:rStyle w:val="FootnoteReference"/>
        </w:rPr>
        <w:footnoteRef/>
      </w:r>
      <w:r>
        <w:t xml:space="preserve"> Georgia has a state premium tax rate of 2.25 percent and a local premium tax rate of 2.5 percent, for a total of 4.75 percent.</w:t>
      </w:r>
    </w:p>
  </w:footnote>
  <w:footnote w:id="10">
    <w:p w:rsidR="00CC6859" w:rsidRDefault="00CC6859" w:rsidP="00AD247B">
      <w:pPr>
        <w:pStyle w:val="FootnoteText"/>
        <w:ind w:right="1440"/>
      </w:pPr>
      <w:r>
        <w:rPr>
          <w:rStyle w:val="FootnoteReference"/>
        </w:rPr>
        <w:footnoteRef/>
      </w:r>
      <w:r>
        <w:t xml:space="preserve"> Employment level was not disclosed in some years for the District of Columbia and Wyoming.</w:t>
      </w:r>
    </w:p>
  </w:footnote>
  <w:footnote w:id="11">
    <w:p w:rsidR="00CC6859" w:rsidRPr="00C32FD7" w:rsidRDefault="00CC6859" w:rsidP="00AD247B">
      <w:pPr>
        <w:pStyle w:val="Footnote"/>
        <w:ind w:right="1440"/>
      </w:pPr>
      <w:r>
        <w:rPr>
          <w:rStyle w:val="FootnoteReference"/>
        </w:rPr>
        <w:footnoteRef/>
      </w:r>
      <w:r>
        <w:t xml:space="preserve"> </w:t>
      </w:r>
      <w:r w:rsidRPr="00C32FD7">
        <w:t xml:space="preserve">One other item to note is that the data underlying the effective tax rate includes premium taxes, retaliatory taxes, as well as other fees and assessments.  The fees tend to be relatively small as they are charges for regulatory reviews and licenses.  Assessments can be relatively large and occur when a bankrupt insurer has liabilities greater than its assets.  In almost every state, the remaining insurers </w:t>
      </w:r>
      <w:r>
        <w:t>a</w:t>
      </w:r>
      <w:r w:rsidRPr="00C32FD7">
        <w:t>re assessed an amount based on market share to cover any shortfall caused by an insurer’s bankruptcy.</w:t>
      </w:r>
      <w:r>
        <w:t xml:space="preserve">  Some portion of this assessment each year is often deductible (or creditable) against the premium tax.</w:t>
      </w:r>
    </w:p>
    <w:p w:rsidR="00CC6859" w:rsidRPr="00C32FD7" w:rsidRDefault="00CC6859" w:rsidP="00024C5C">
      <w:pPr>
        <w:pStyle w:val="Footnote"/>
      </w:pPr>
    </w:p>
  </w:footnote>
  <w:footnote w:id="12">
    <w:p w:rsidR="00CC6859" w:rsidRDefault="00CC6859" w:rsidP="00C91D67">
      <w:pPr>
        <w:pStyle w:val="FootnoteText"/>
        <w:ind w:right="1440"/>
      </w:pPr>
      <w:r>
        <w:rPr>
          <w:rStyle w:val="FootnoteReference"/>
        </w:rPr>
        <w:footnoteRef/>
      </w:r>
      <w:r>
        <w:t xml:space="preserve"> The NAIC’s Retaliation Guide provides the foreign tax rates imposed by state governments. However, some states, for example Georgia, also impose a local tax.  The local rates were obtained from various sources. For states in which the local rate varies across jurisdictions, we examine each state’s local premium tax rate and add that to the statutory rate.  For example, in Georgia we would use the state’s foreign rate (2.25%) and </w:t>
      </w:r>
      <w:proofErr w:type="gramStart"/>
      <w:r>
        <w:t>the  local</w:t>
      </w:r>
      <w:proofErr w:type="gramEnd"/>
      <w:r>
        <w:t xml:space="preserve"> rate (2.5%) to arrive at the 4.75% overall rate.</w:t>
      </w:r>
    </w:p>
  </w:footnote>
  <w:footnote w:id="13">
    <w:p w:rsidR="00CC6859" w:rsidRDefault="00CC6859" w:rsidP="00AD247B">
      <w:pPr>
        <w:pStyle w:val="FootnoteText"/>
        <w:ind w:right="1440"/>
      </w:pPr>
      <w:r>
        <w:rPr>
          <w:rStyle w:val="FootnoteReference"/>
        </w:rPr>
        <w:footnoteRef/>
      </w:r>
      <w:r>
        <w:t xml:space="preserve"> States also regulate the solvency of insurers, but one does not observe much heterogeneity in the approach to solvency regulation.  This is, in part, due to the fact that many companies operate in more than one state and are potentially subject to solvency regulation from every state where they do business and that since the </w:t>
      </w:r>
      <w:proofErr w:type="spellStart"/>
      <w:r>
        <w:t>mid 1990s</w:t>
      </w:r>
      <w:proofErr w:type="spellEnd"/>
      <w:r>
        <w:t xml:space="preserve"> each state has adopted a model act that has the tendency to make solvency regulation more uniform across the states.  In contrast, there is no such uniformity requirement for price regulation. See Klein (1995) for an overview of insurance regulation.</w:t>
      </w:r>
    </w:p>
  </w:footnote>
  <w:footnote w:id="14">
    <w:p w:rsidR="00CC6859" w:rsidRDefault="00CC6859" w:rsidP="00AD247B">
      <w:pPr>
        <w:pStyle w:val="FootnoteText"/>
        <w:ind w:right="1440"/>
      </w:pPr>
      <w:r>
        <w:rPr>
          <w:rStyle w:val="FootnoteReference"/>
        </w:rPr>
        <w:footnoteRef/>
      </w:r>
      <w:r>
        <w:t xml:space="preserve"> We did include a set of fiscal variables in some preliminary regressions.  The coefficients on these variables were almost uniformly statistically insignificant.</w:t>
      </w:r>
    </w:p>
  </w:footnote>
  <w:footnote w:id="15">
    <w:p w:rsidR="00CC6859" w:rsidRDefault="00CC6859" w:rsidP="0040446D">
      <w:pPr>
        <w:pStyle w:val="FootnoteText"/>
        <w:ind w:right="1440"/>
      </w:pPr>
      <w:r>
        <w:rPr>
          <w:rStyle w:val="FootnoteReference"/>
        </w:rPr>
        <w:footnoteRef/>
      </w:r>
      <w:r>
        <w:t xml:space="preserve"> </w:t>
      </w:r>
      <w:proofErr w:type="spellStart"/>
      <w:r>
        <w:t>Stata</w:t>
      </w:r>
      <w:proofErr w:type="spellEnd"/>
      <w:r>
        <w:t xml:space="preserve"> routines </w:t>
      </w:r>
      <w:proofErr w:type="spellStart"/>
      <w:r>
        <w:t>xtreg</w:t>
      </w:r>
      <w:proofErr w:type="spellEnd"/>
      <w:r>
        <w:t xml:space="preserve"> and xtivreg2 were used to produce all estimates; see Schaffer (2005).  </w:t>
      </w:r>
    </w:p>
  </w:footnote>
  <w:footnote w:id="16">
    <w:p w:rsidR="00CC6859" w:rsidRDefault="00CC6859" w:rsidP="0040446D">
      <w:pPr>
        <w:pStyle w:val="FootnoteText"/>
        <w:ind w:right="1440"/>
      </w:pPr>
      <w:r>
        <w:rPr>
          <w:rStyle w:val="FootnoteReference"/>
        </w:rPr>
        <w:footnoteRef/>
      </w:r>
      <w:r>
        <w:t xml:space="preserve">  Brett and </w:t>
      </w:r>
      <w:proofErr w:type="spellStart"/>
      <w:r>
        <w:t>Pinkse</w:t>
      </w:r>
      <w:proofErr w:type="spellEnd"/>
      <w:r>
        <w:t xml:space="preserve"> (2000) and Decker and </w:t>
      </w:r>
      <w:proofErr w:type="spellStart"/>
      <w:r>
        <w:t>Wohar</w:t>
      </w:r>
      <w:proofErr w:type="spellEnd"/>
      <w:r>
        <w:t xml:space="preserve"> (2007) also explore tax rate differences.</w:t>
      </w:r>
    </w:p>
  </w:footnote>
  <w:footnote w:id="17">
    <w:p w:rsidR="00CC6859" w:rsidRDefault="00CC6859" w:rsidP="00AD247B">
      <w:pPr>
        <w:pStyle w:val="FootnoteText"/>
        <w:ind w:right="1440"/>
      </w:pPr>
      <w:r>
        <w:rPr>
          <w:rStyle w:val="FootnoteReference"/>
        </w:rPr>
        <w:footnoteRef/>
      </w:r>
      <w:r>
        <w:t xml:space="preserve"> The period 1958 to 1979 was chosen to include periods of growth and recession and approximately equal number of years of Democratic and Republican control of the Presidency.</w:t>
      </w:r>
    </w:p>
  </w:footnote>
  <w:footnote w:id="18">
    <w:p w:rsidR="00CC6859" w:rsidRDefault="00CC6859" w:rsidP="00AD247B">
      <w:pPr>
        <w:pStyle w:val="FootnoteText"/>
        <w:ind w:right="1440"/>
      </w:pPr>
      <w:r>
        <w:rPr>
          <w:rStyle w:val="FootnoteReference"/>
        </w:rPr>
        <w:footnoteRef/>
      </w:r>
      <w:r>
        <w:t xml:space="preserve"> Nebraska’s legislature is unicameral and non-partisan.  For the index of Nebraska we used the political composition of its U.S. Representatives and Senators. For D.C. we used the make-up of its council and mayor.</w:t>
      </w:r>
    </w:p>
  </w:footnote>
  <w:footnote w:id="19">
    <w:p w:rsidR="00CC6859" w:rsidRDefault="00CC6859" w:rsidP="0040446D">
      <w:pPr>
        <w:pStyle w:val="FootnoteText"/>
        <w:ind w:right="1440"/>
      </w:pPr>
      <w:r>
        <w:rPr>
          <w:rStyle w:val="FootnoteReference"/>
        </w:rPr>
        <w:footnoteRef/>
      </w:r>
      <w:r>
        <w:t xml:space="preserve"> We thank Robert Buschman for providing these data.</w:t>
      </w:r>
    </w:p>
  </w:footnote>
  <w:footnote w:id="20">
    <w:p w:rsidR="00CC6859" w:rsidRDefault="00CC6859" w:rsidP="0040446D">
      <w:pPr>
        <w:pStyle w:val="FootnoteText"/>
        <w:ind w:right="1440"/>
      </w:pPr>
      <w:r>
        <w:rPr>
          <w:rStyle w:val="FootnoteReference"/>
        </w:rPr>
        <w:footnoteRef/>
      </w:r>
      <w:r>
        <w:t xml:space="preserve"> See </w:t>
      </w:r>
      <w:proofErr w:type="spellStart"/>
      <w:r>
        <w:t>Kleibergen</w:t>
      </w:r>
      <w:proofErr w:type="spellEnd"/>
      <w:r>
        <w:t xml:space="preserve"> (2004).</w:t>
      </w:r>
    </w:p>
  </w:footnote>
  <w:footnote w:id="21">
    <w:p w:rsidR="00CC6859" w:rsidRPr="0040446D" w:rsidRDefault="00CC6859" w:rsidP="0040446D">
      <w:pPr>
        <w:pStyle w:val="FootnoteText"/>
        <w:ind w:right="1440"/>
        <w:rPr>
          <w:vertAlign w:val="superscript"/>
        </w:rPr>
      </w:pPr>
      <w:r>
        <w:rPr>
          <w:rStyle w:val="FootnoteReference"/>
        </w:rPr>
        <w:footnoteRef/>
      </w:r>
      <w:r>
        <w:t xml:space="preserve"> The R</w:t>
      </w:r>
      <w:r>
        <w:rPr>
          <w:vertAlign w:val="superscript"/>
        </w:rPr>
        <w:t>2</w:t>
      </w:r>
      <w:r>
        <w:t xml:space="preserve"> for a regression of foreign statutory tax rate against the set of state dummies is 0.93.</w:t>
      </w:r>
    </w:p>
  </w:footnote>
  <w:footnote w:id="22">
    <w:p w:rsidR="00CC6859" w:rsidRDefault="00CC6859" w:rsidP="00AD247B">
      <w:pPr>
        <w:pStyle w:val="FootnoteText"/>
        <w:ind w:right="1440"/>
      </w:pPr>
      <w:r>
        <w:rPr>
          <w:rStyle w:val="FootnoteReference"/>
        </w:rPr>
        <w:footnoteRef/>
      </w:r>
      <w:r>
        <w:t xml:space="preserve"> As an alternative procedure, we could have estimated equation 3 for just one year, which is common practice in this literature.  Although the variation in the tax rate and industry size over time is small, estimating equation 3 with just one year of data would remove that source of variation in the data.  In fact, we did estimate equation 3 using just annual observations and the results are similar to those we report in Table 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94C"/>
    <w:multiLevelType w:val="hybridMultilevel"/>
    <w:tmpl w:val="4DDC5B9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AF6F27"/>
    <w:multiLevelType w:val="multilevel"/>
    <w:tmpl w:val="D81C666E"/>
    <w:lvl w:ilvl="0">
      <w:start w:val="5"/>
      <w:numFmt w:val="decimal"/>
      <w:lvlText w:val="%1."/>
      <w:lvlJc w:val="left"/>
      <w:pPr>
        <w:ind w:left="36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AF6379D"/>
    <w:multiLevelType w:val="multilevel"/>
    <w:tmpl w:val="644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17B08"/>
    <w:multiLevelType w:val="hybridMultilevel"/>
    <w:tmpl w:val="3DFA21E8"/>
    <w:lvl w:ilvl="0" w:tplc="4CBA111A">
      <w:start w:val="1"/>
      <w:numFmt w:val="upperRoman"/>
      <w:lvlText w:val="%1."/>
      <w:lvlJc w:val="left"/>
      <w:pPr>
        <w:tabs>
          <w:tab w:val="num" w:pos="1080"/>
        </w:tabs>
        <w:ind w:left="1080" w:hanging="720"/>
      </w:pPr>
      <w:rPr>
        <w:rFonts w:hint="default"/>
      </w:rPr>
    </w:lvl>
    <w:lvl w:ilvl="1" w:tplc="04A0A6D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C"/>
    <w:rsid w:val="00004987"/>
    <w:rsid w:val="000061C9"/>
    <w:rsid w:val="000066F4"/>
    <w:rsid w:val="00010C2B"/>
    <w:rsid w:val="00011528"/>
    <w:rsid w:val="00020D94"/>
    <w:rsid w:val="00022206"/>
    <w:rsid w:val="00023644"/>
    <w:rsid w:val="00023749"/>
    <w:rsid w:val="000245A2"/>
    <w:rsid w:val="00024C5C"/>
    <w:rsid w:val="000251F9"/>
    <w:rsid w:val="00025EEA"/>
    <w:rsid w:val="0002613E"/>
    <w:rsid w:val="000263C6"/>
    <w:rsid w:val="00031C29"/>
    <w:rsid w:val="00032C63"/>
    <w:rsid w:val="0003381C"/>
    <w:rsid w:val="0003451B"/>
    <w:rsid w:val="000348EC"/>
    <w:rsid w:val="0003580D"/>
    <w:rsid w:val="000379A8"/>
    <w:rsid w:val="00040170"/>
    <w:rsid w:val="00040289"/>
    <w:rsid w:val="00040B3F"/>
    <w:rsid w:val="00041483"/>
    <w:rsid w:val="000438A9"/>
    <w:rsid w:val="000469F4"/>
    <w:rsid w:val="0005467F"/>
    <w:rsid w:val="00060ECE"/>
    <w:rsid w:val="000615F5"/>
    <w:rsid w:val="00061BD2"/>
    <w:rsid w:val="00063ED7"/>
    <w:rsid w:val="00065787"/>
    <w:rsid w:val="000670F8"/>
    <w:rsid w:val="00067718"/>
    <w:rsid w:val="00067AF8"/>
    <w:rsid w:val="00070425"/>
    <w:rsid w:val="00072ADB"/>
    <w:rsid w:val="00075BA2"/>
    <w:rsid w:val="00075E11"/>
    <w:rsid w:val="00077259"/>
    <w:rsid w:val="00080AC1"/>
    <w:rsid w:val="00080AE9"/>
    <w:rsid w:val="00080BB1"/>
    <w:rsid w:val="000857AC"/>
    <w:rsid w:val="00085F56"/>
    <w:rsid w:val="00092643"/>
    <w:rsid w:val="0009374F"/>
    <w:rsid w:val="00094694"/>
    <w:rsid w:val="00094D79"/>
    <w:rsid w:val="000974B9"/>
    <w:rsid w:val="0009790D"/>
    <w:rsid w:val="0009796E"/>
    <w:rsid w:val="000A1009"/>
    <w:rsid w:val="000A5297"/>
    <w:rsid w:val="000A5F0B"/>
    <w:rsid w:val="000A6158"/>
    <w:rsid w:val="000A779D"/>
    <w:rsid w:val="000B0A27"/>
    <w:rsid w:val="000B16C6"/>
    <w:rsid w:val="000B1FD1"/>
    <w:rsid w:val="000B3260"/>
    <w:rsid w:val="000B3924"/>
    <w:rsid w:val="000B45DE"/>
    <w:rsid w:val="000B728E"/>
    <w:rsid w:val="000C1504"/>
    <w:rsid w:val="000C55CA"/>
    <w:rsid w:val="000C6945"/>
    <w:rsid w:val="000D163A"/>
    <w:rsid w:val="000D2D9C"/>
    <w:rsid w:val="000D32BF"/>
    <w:rsid w:val="000D384D"/>
    <w:rsid w:val="000D7970"/>
    <w:rsid w:val="000E16EC"/>
    <w:rsid w:val="000E23C1"/>
    <w:rsid w:val="000E26C3"/>
    <w:rsid w:val="000E2BCB"/>
    <w:rsid w:val="000E46E2"/>
    <w:rsid w:val="000E4D86"/>
    <w:rsid w:val="000E50F5"/>
    <w:rsid w:val="000E6D3C"/>
    <w:rsid w:val="000F007A"/>
    <w:rsid w:val="000F036C"/>
    <w:rsid w:val="000F03CC"/>
    <w:rsid w:val="000F05A2"/>
    <w:rsid w:val="000F0FF8"/>
    <w:rsid w:val="000F3EDC"/>
    <w:rsid w:val="000F4F52"/>
    <w:rsid w:val="000F763B"/>
    <w:rsid w:val="000F7B15"/>
    <w:rsid w:val="00101BFE"/>
    <w:rsid w:val="00104D12"/>
    <w:rsid w:val="0011237B"/>
    <w:rsid w:val="001144A9"/>
    <w:rsid w:val="0011533F"/>
    <w:rsid w:val="00115A04"/>
    <w:rsid w:val="001170DE"/>
    <w:rsid w:val="001172E1"/>
    <w:rsid w:val="0012143D"/>
    <w:rsid w:val="00125888"/>
    <w:rsid w:val="00127F8A"/>
    <w:rsid w:val="0013525E"/>
    <w:rsid w:val="00137525"/>
    <w:rsid w:val="00140388"/>
    <w:rsid w:val="001413D9"/>
    <w:rsid w:val="00142F4F"/>
    <w:rsid w:val="00142FEE"/>
    <w:rsid w:val="00147091"/>
    <w:rsid w:val="001502CC"/>
    <w:rsid w:val="001503EC"/>
    <w:rsid w:val="001517CA"/>
    <w:rsid w:val="00154D46"/>
    <w:rsid w:val="00154ED8"/>
    <w:rsid w:val="001565B1"/>
    <w:rsid w:val="001566D4"/>
    <w:rsid w:val="001571AD"/>
    <w:rsid w:val="001643A2"/>
    <w:rsid w:val="00167121"/>
    <w:rsid w:val="00171879"/>
    <w:rsid w:val="00171961"/>
    <w:rsid w:val="0017330D"/>
    <w:rsid w:val="00173C45"/>
    <w:rsid w:val="001761D0"/>
    <w:rsid w:val="00176D56"/>
    <w:rsid w:val="00177F61"/>
    <w:rsid w:val="0018230A"/>
    <w:rsid w:val="001828F8"/>
    <w:rsid w:val="00182EE9"/>
    <w:rsid w:val="00184402"/>
    <w:rsid w:val="0018508D"/>
    <w:rsid w:val="00185824"/>
    <w:rsid w:val="00185994"/>
    <w:rsid w:val="0018719C"/>
    <w:rsid w:val="001913A9"/>
    <w:rsid w:val="001941D5"/>
    <w:rsid w:val="001A07F9"/>
    <w:rsid w:val="001A0ADE"/>
    <w:rsid w:val="001A13DC"/>
    <w:rsid w:val="001A1A55"/>
    <w:rsid w:val="001A3052"/>
    <w:rsid w:val="001A3928"/>
    <w:rsid w:val="001A3A46"/>
    <w:rsid w:val="001A5227"/>
    <w:rsid w:val="001A526B"/>
    <w:rsid w:val="001A52CE"/>
    <w:rsid w:val="001B2767"/>
    <w:rsid w:val="001B5C11"/>
    <w:rsid w:val="001C186F"/>
    <w:rsid w:val="001C4E02"/>
    <w:rsid w:val="001D0851"/>
    <w:rsid w:val="001D0905"/>
    <w:rsid w:val="001D16AE"/>
    <w:rsid w:val="001D4452"/>
    <w:rsid w:val="001D53AC"/>
    <w:rsid w:val="001D6D42"/>
    <w:rsid w:val="001E1A46"/>
    <w:rsid w:val="001E745B"/>
    <w:rsid w:val="001F040D"/>
    <w:rsid w:val="001F1790"/>
    <w:rsid w:val="001F1E45"/>
    <w:rsid w:val="001F65E8"/>
    <w:rsid w:val="00202162"/>
    <w:rsid w:val="002021CA"/>
    <w:rsid w:val="002037DB"/>
    <w:rsid w:val="0021473E"/>
    <w:rsid w:val="0021475B"/>
    <w:rsid w:val="00214A6A"/>
    <w:rsid w:val="00215B35"/>
    <w:rsid w:val="00216092"/>
    <w:rsid w:val="0021698C"/>
    <w:rsid w:val="002176AC"/>
    <w:rsid w:val="00220004"/>
    <w:rsid w:val="0022070C"/>
    <w:rsid w:val="0022158C"/>
    <w:rsid w:val="00221ED4"/>
    <w:rsid w:val="002241F0"/>
    <w:rsid w:val="00224BB9"/>
    <w:rsid w:val="00225328"/>
    <w:rsid w:val="00226F30"/>
    <w:rsid w:val="002279A0"/>
    <w:rsid w:val="00230382"/>
    <w:rsid w:val="002349D2"/>
    <w:rsid w:val="00244FD1"/>
    <w:rsid w:val="00244FE9"/>
    <w:rsid w:val="0024602B"/>
    <w:rsid w:val="00247EB9"/>
    <w:rsid w:val="00250709"/>
    <w:rsid w:val="002532A0"/>
    <w:rsid w:val="002536F6"/>
    <w:rsid w:val="00253FE0"/>
    <w:rsid w:val="00257FEC"/>
    <w:rsid w:val="0026027D"/>
    <w:rsid w:val="00260801"/>
    <w:rsid w:val="00263842"/>
    <w:rsid w:val="00264209"/>
    <w:rsid w:val="002646FF"/>
    <w:rsid w:val="00266FDF"/>
    <w:rsid w:val="00270CE0"/>
    <w:rsid w:val="002712C8"/>
    <w:rsid w:val="0027472E"/>
    <w:rsid w:val="00275B40"/>
    <w:rsid w:val="00276B59"/>
    <w:rsid w:val="00277E3D"/>
    <w:rsid w:val="00280F3D"/>
    <w:rsid w:val="002828A7"/>
    <w:rsid w:val="00283F83"/>
    <w:rsid w:val="0028551C"/>
    <w:rsid w:val="002858AA"/>
    <w:rsid w:val="0029350D"/>
    <w:rsid w:val="00295C5B"/>
    <w:rsid w:val="002B13E7"/>
    <w:rsid w:val="002B4C3C"/>
    <w:rsid w:val="002C1D6F"/>
    <w:rsid w:val="002C2228"/>
    <w:rsid w:val="002C26C4"/>
    <w:rsid w:val="002C2897"/>
    <w:rsid w:val="002C4EF3"/>
    <w:rsid w:val="002D0575"/>
    <w:rsid w:val="002D1034"/>
    <w:rsid w:val="002D1884"/>
    <w:rsid w:val="002D2064"/>
    <w:rsid w:val="002D3324"/>
    <w:rsid w:val="002E05C2"/>
    <w:rsid w:val="002E104A"/>
    <w:rsid w:val="002E15DC"/>
    <w:rsid w:val="002E15E5"/>
    <w:rsid w:val="002E3307"/>
    <w:rsid w:val="002E352F"/>
    <w:rsid w:val="002E5CF5"/>
    <w:rsid w:val="002E7E81"/>
    <w:rsid w:val="002F02DC"/>
    <w:rsid w:val="002F055F"/>
    <w:rsid w:val="002F1F34"/>
    <w:rsid w:val="002F5509"/>
    <w:rsid w:val="002F615F"/>
    <w:rsid w:val="002F7548"/>
    <w:rsid w:val="003015A5"/>
    <w:rsid w:val="00304810"/>
    <w:rsid w:val="00306DC3"/>
    <w:rsid w:val="00306E2E"/>
    <w:rsid w:val="003075D5"/>
    <w:rsid w:val="00310AFE"/>
    <w:rsid w:val="00311138"/>
    <w:rsid w:val="003112AA"/>
    <w:rsid w:val="003127FD"/>
    <w:rsid w:val="00313668"/>
    <w:rsid w:val="00316B1E"/>
    <w:rsid w:val="003174A8"/>
    <w:rsid w:val="00322FC2"/>
    <w:rsid w:val="00323421"/>
    <w:rsid w:val="0032506D"/>
    <w:rsid w:val="00325581"/>
    <w:rsid w:val="00325D1E"/>
    <w:rsid w:val="00327E5E"/>
    <w:rsid w:val="00331E7C"/>
    <w:rsid w:val="00332BA2"/>
    <w:rsid w:val="003340E0"/>
    <w:rsid w:val="00334589"/>
    <w:rsid w:val="0033486D"/>
    <w:rsid w:val="00336D92"/>
    <w:rsid w:val="00340B2F"/>
    <w:rsid w:val="003451E8"/>
    <w:rsid w:val="003460DC"/>
    <w:rsid w:val="00350C95"/>
    <w:rsid w:val="00356B22"/>
    <w:rsid w:val="00356FA3"/>
    <w:rsid w:val="0035769C"/>
    <w:rsid w:val="00361D31"/>
    <w:rsid w:val="0036261C"/>
    <w:rsid w:val="00362D19"/>
    <w:rsid w:val="003713DA"/>
    <w:rsid w:val="0037283B"/>
    <w:rsid w:val="0037345D"/>
    <w:rsid w:val="003772F9"/>
    <w:rsid w:val="003802D6"/>
    <w:rsid w:val="00380887"/>
    <w:rsid w:val="0038192E"/>
    <w:rsid w:val="003823FB"/>
    <w:rsid w:val="0038290A"/>
    <w:rsid w:val="0038341A"/>
    <w:rsid w:val="00386E47"/>
    <w:rsid w:val="0038700B"/>
    <w:rsid w:val="00387A2E"/>
    <w:rsid w:val="0039185F"/>
    <w:rsid w:val="0039408F"/>
    <w:rsid w:val="00395330"/>
    <w:rsid w:val="00396DDE"/>
    <w:rsid w:val="003A4486"/>
    <w:rsid w:val="003A4C22"/>
    <w:rsid w:val="003A4D66"/>
    <w:rsid w:val="003A7524"/>
    <w:rsid w:val="003B12DC"/>
    <w:rsid w:val="003B15ED"/>
    <w:rsid w:val="003B2D9D"/>
    <w:rsid w:val="003B3878"/>
    <w:rsid w:val="003C0375"/>
    <w:rsid w:val="003C13AE"/>
    <w:rsid w:val="003C1441"/>
    <w:rsid w:val="003C37C8"/>
    <w:rsid w:val="003C5D5F"/>
    <w:rsid w:val="003C73E3"/>
    <w:rsid w:val="003D2F0F"/>
    <w:rsid w:val="003D31A1"/>
    <w:rsid w:val="003D3723"/>
    <w:rsid w:val="003D3A6C"/>
    <w:rsid w:val="003D3DE2"/>
    <w:rsid w:val="003D4747"/>
    <w:rsid w:val="003D4BED"/>
    <w:rsid w:val="003E0338"/>
    <w:rsid w:val="003E1BAC"/>
    <w:rsid w:val="003E24F4"/>
    <w:rsid w:val="003E3146"/>
    <w:rsid w:val="003E45E1"/>
    <w:rsid w:val="003E521E"/>
    <w:rsid w:val="003E5B83"/>
    <w:rsid w:val="003F0B43"/>
    <w:rsid w:val="003F1CA4"/>
    <w:rsid w:val="003F2E40"/>
    <w:rsid w:val="003F3B8C"/>
    <w:rsid w:val="003F413A"/>
    <w:rsid w:val="003F65B8"/>
    <w:rsid w:val="003F7EC4"/>
    <w:rsid w:val="0040446D"/>
    <w:rsid w:val="00405934"/>
    <w:rsid w:val="00407B35"/>
    <w:rsid w:val="00411964"/>
    <w:rsid w:val="00412318"/>
    <w:rsid w:val="00413A99"/>
    <w:rsid w:val="00413D0D"/>
    <w:rsid w:val="004158D1"/>
    <w:rsid w:val="00417EB7"/>
    <w:rsid w:val="00423883"/>
    <w:rsid w:val="00425A31"/>
    <w:rsid w:val="00426745"/>
    <w:rsid w:val="0043061A"/>
    <w:rsid w:val="00431086"/>
    <w:rsid w:val="00436903"/>
    <w:rsid w:val="00437E0A"/>
    <w:rsid w:val="00441E8B"/>
    <w:rsid w:val="00442A55"/>
    <w:rsid w:val="00442A8F"/>
    <w:rsid w:val="00443F3E"/>
    <w:rsid w:val="00455B7C"/>
    <w:rsid w:val="004560F0"/>
    <w:rsid w:val="004578D3"/>
    <w:rsid w:val="00457EE3"/>
    <w:rsid w:val="004603BB"/>
    <w:rsid w:val="00460DB0"/>
    <w:rsid w:val="004615F9"/>
    <w:rsid w:val="0046593F"/>
    <w:rsid w:val="004672D8"/>
    <w:rsid w:val="00470BB9"/>
    <w:rsid w:val="00470CF5"/>
    <w:rsid w:val="00471CF3"/>
    <w:rsid w:val="00473164"/>
    <w:rsid w:val="00473CEE"/>
    <w:rsid w:val="004775D3"/>
    <w:rsid w:val="00482ADB"/>
    <w:rsid w:val="00483A61"/>
    <w:rsid w:val="004857F3"/>
    <w:rsid w:val="00486157"/>
    <w:rsid w:val="00487DDF"/>
    <w:rsid w:val="004901DB"/>
    <w:rsid w:val="00491328"/>
    <w:rsid w:val="004918B6"/>
    <w:rsid w:val="004954F5"/>
    <w:rsid w:val="00495B5E"/>
    <w:rsid w:val="004A0331"/>
    <w:rsid w:val="004A15E2"/>
    <w:rsid w:val="004A76C3"/>
    <w:rsid w:val="004B27FC"/>
    <w:rsid w:val="004B4523"/>
    <w:rsid w:val="004C08F8"/>
    <w:rsid w:val="004C107D"/>
    <w:rsid w:val="004C13C3"/>
    <w:rsid w:val="004C35A8"/>
    <w:rsid w:val="004C3924"/>
    <w:rsid w:val="004C65D6"/>
    <w:rsid w:val="004C7F10"/>
    <w:rsid w:val="004D03EA"/>
    <w:rsid w:val="004D17DD"/>
    <w:rsid w:val="004D2BBB"/>
    <w:rsid w:val="004D5247"/>
    <w:rsid w:val="004E0131"/>
    <w:rsid w:val="004E013F"/>
    <w:rsid w:val="004E3E72"/>
    <w:rsid w:val="004E581F"/>
    <w:rsid w:val="004F262D"/>
    <w:rsid w:val="004F2CBB"/>
    <w:rsid w:val="004F3189"/>
    <w:rsid w:val="004F52EE"/>
    <w:rsid w:val="00500013"/>
    <w:rsid w:val="005008CE"/>
    <w:rsid w:val="0050378B"/>
    <w:rsid w:val="00504C77"/>
    <w:rsid w:val="00506986"/>
    <w:rsid w:val="00507E64"/>
    <w:rsid w:val="00512D64"/>
    <w:rsid w:val="005177C1"/>
    <w:rsid w:val="005229E9"/>
    <w:rsid w:val="00526F6B"/>
    <w:rsid w:val="00527C13"/>
    <w:rsid w:val="005300F1"/>
    <w:rsid w:val="005305B0"/>
    <w:rsid w:val="00532281"/>
    <w:rsid w:val="00533327"/>
    <w:rsid w:val="0053548C"/>
    <w:rsid w:val="0054175D"/>
    <w:rsid w:val="00541AFA"/>
    <w:rsid w:val="005437EE"/>
    <w:rsid w:val="00546CE4"/>
    <w:rsid w:val="00552B63"/>
    <w:rsid w:val="005530EB"/>
    <w:rsid w:val="0055443D"/>
    <w:rsid w:val="005549DA"/>
    <w:rsid w:val="00556F91"/>
    <w:rsid w:val="00562CA8"/>
    <w:rsid w:val="005705EE"/>
    <w:rsid w:val="00571807"/>
    <w:rsid w:val="00572974"/>
    <w:rsid w:val="005759E5"/>
    <w:rsid w:val="0057686E"/>
    <w:rsid w:val="00580310"/>
    <w:rsid w:val="00582606"/>
    <w:rsid w:val="00582FE1"/>
    <w:rsid w:val="00583AEA"/>
    <w:rsid w:val="005854C5"/>
    <w:rsid w:val="00587C8B"/>
    <w:rsid w:val="0059059A"/>
    <w:rsid w:val="0059068E"/>
    <w:rsid w:val="0059282C"/>
    <w:rsid w:val="0059682E"/>
    <w:rsid w:val="005A4926"/>
    <w:rsid w:val="005A4BB5"/>
    <w:rsid w:val="005B0AA1"/>
    <w:rsid w:val="005B127C"/>
    <w:rsid w:val="005B1C8E"/>
    <w:rsid w:val="005B1D18"/>
    <w:rsid w:val="005B3892"/>
    <w:rsid w:val="005B7284"/>
    <w:rsid w:val="005B73B7"/>
    <w:rsid w:val="005C2524"/>
    <w:rsid w:val="005C2B51"/>
    <w:rsid w:val="005C3B44"/>
    <w:rsid w:val="005C50FD"/>
    <w:rsid w:val="005D1790"/>
    <w:rsid w:val="005D229F"/>
    <w:rsid w:val="005D320A"/>
    <w:rsid w:val="005D4874"/>
    <w:rsid w:val="005E048F"/>
    <w:rsid w:val="005E4E4E"/>
    <w:rsid w:val="005E7283"/>
    <w:rsid w:val="005F1CE0"/>
    <w:rsid w:val="005F48D1"/>
    <w:rsid w:val="005F494F"/>
    <w:rsid w:val="005F4C66"/>
    <w:rsid w:val="00611257"/>
    <w:rsid w:val="00612A50"/>
    <w:rsid w:val="00612E91"/>
    <w:rsid w:val="0061373F"/>
    <w:rsid w:val="006150A2"/>
    <w:rsid w:val="006202CF"/>
    <w:rsid w:val="00621599"/>
    <w:rsid w:val="00621DD4"/>
    <w:rsid w:val="0062325A"/>
    <w:rsid w:val="00623A4D"/>
    <w:rsid w:val="00626FDA"/>
    <w:rsid w:val="006322C0"/>
    <w:rsid w:val="00635155"/>
    <w:rsid w:val="006406D1"/>
    <w:rsid w:val="00643B41"/>
    <w:rsid w:val="00644706"/>
    <w:rsid w:val="006477EE"/>
    <w:rsid w:val="006509D0"/>
    <w:rsid w:val="00651A6F"/>
    <w:rsid w:val="00652086"/>
    <w:rsid w:val="00653520"/>
    <w:rsid w:val="00657FC8"/>
    <w:rsid w:val="00660AC6"/>
    <w:rsid w:val="0066437B"/>
    <w:rsid w:val="00664721"/>
    <w:rsid w:val="006730E2"/>
    <w:rsid w:val="0067322E"/>
    <w:rsid w:val="00674153"/>
    <w:rsid w:val="00674B95"/>
    <w:rsid w:val="0067665A"/>
    <w:rsid w:val="0068644B"/>
    <w:rsid w:val="0068755A"/>
    <w:rsid w:val="006939CF"/>
    <w:rsid w:val="006945DF"/>
    <w:rsid w:val="0069646A"/>
    <w:rsid w:val="00696A36"/>
    <w:rsid w:val="00697B56"/>
    <w:rsid w:val="006A14B4"/>
    <w:rsid w:val="006A3560"/>
    <w:rsid w:val="006A374F"/>
    <w:rsid w:val="006A3797"/>
    <w:rsid w:val="006A3C7A"/>
    <w:rsid w:val="006A5437"/>
    <w:rsid w:val="006A5B44"/>
    <w:rsid w:val="006A5D63"/>
    <w:rsid w:val="006A6632"/>
    <w:rsid w:val="006B0FFE"/>
    <w:rsid w:val="006B1B58"/>
    <w:rsid w:val="006B2CE5"/>
    <w:rsid w:val="006B2DC5"/>
    <w:rsid w:val="006B455A"/>
    <w:rsid w:val="006B4D8F"/>
    <w:rsid w:val="006B6162"/>
    <w:rsid w:val="006C136F"/>
    <w:rsid w:val="006C1BF5"/>
    <w:rsid w:val="006C3653"/>
    <w:rsid w:val="006C496E"/>
    <w:rsid w:val="006C54B8"/>
    <w:rsid w:val="006D1919"/>
    <w:rsid w:val="006D1D1E"/>
    <w:rsid w:val="006D2808"/>
    <w:rsid w:val="006D3B1C"/>
    <w:rsid w:val="006D5AB4"/>
    <w:rsid w:val="006D7F0D"/>
    <w:rsid w:val="006E0975"/>
    <w:rsid w:val="006E3CAE"/>
    <w:rsid w:val="006E4B9A"/>
    <w:rsid w:val="006F1226"/>
    <w:rsid w:val="006F13CC"/>
    <w:rsid w:val="006F3B8F"/>
    <w:rsid w:val="006F6C93"/>
    <w:rsid w:val="00700F1F"/>
    <w:rsid w:val="00705CE5"/>
    <w:rsid w:val="00707966"/>
    <w:rsid w:val="00711E14"/>
    <w:rsid w:val="00713B75"/>
    <w:rsid w:val="00714979"/>
    <w:rsid w:val="00716A6A"/>
    <w:rsid w:val="00716E88"/>
    <w:rsid w:val="00717F7F"/>
    <w:rsid w:val="0072097E"/>
    <w:rsid w:val="007220D7"/>
    <w:rsid w:val="00723FE8"/>
    <w:rsid w:val="007252B4"/>
    <w:rsid w:val="0072691D"/>
    <w:rsid w:val="00727E8D"/>
    <w:rsid w:val="0073092E"/>
    <w:rsid w:val="0073177D"/>
    <w:rsid w:val="00733754"/>
    <w:rsid w:val="0073414F"/>
    <w:rsid w:val="00734FB5"/>
    <w:rsid w:val="00735C29"/>
    <w:rsid w:val="007421E0"/>
    <w:rsid w:val="00744EFC"/>
    <w:rsid w:val="0074563D"/>
    <w:rsid w:val="00745EB1"/>
    <w:rsid w:val="00745F3D"/>
    <w:rsid w:val="007512C4"/>
    <w:rsid w:val="00753806"/>
    <w:rsid w:val="007545AD"/>
    <w:rsid w:val="0075482D"/>
    <w:rsid w:val="00755586"/>
    <w:rsid w:val="0075651F"/>
    <w:rsid w:val="00757963"/>
    <w:rsid w:val="00760E17"/>
    <w:rsid w:val="007647B6"/>
    <w:rsid w:val="00764AA2"/>
    <w:rsid w:val="00766A4D"/>
    <w:rsid w:val="007718AC"/>
    <w:rsid w:val="00772C5F"/>
    <w:rsid w:val="00773FCB"/>
    <w:rsid w:val="00776790"/>
    <w:rsid w:val="00776BD1"/>
    <w:rsid w:val="007813AD"/>
    <w:rsid w:val="00782524"/>
    <w:rsid w:val="007845A5"/>
    <w:rsid w:val="00785E7F"/>
    <w:rsid w:val="0078616C"/>
    <w:rsid w:val="007861D8"/>
    <w:rsid w:val="00786AD6"/>
    <w:rsid w:val="00787872"/>
    <w:rsid w:val="00790004"/>
    <w:rsid w:val="007905B1"/>
    <w:rsid w:val="0079099B"/>
    <w:rsid w:val="00790C36"/>
    <w:rsid w:val="0079212A"/>
    <w:rsid w:val="007933FE"/>
    <w:rsid w:val="00793AAE"/>
    <w:rsid w:val="00796136"/>
    <w:rsid w:val="007A00E0"/>
    <w:rsid w:val="007A018B"/>
    <w:rsid w:val="007A1D67"/>
    <w:rsid w:val="007A2E66"/>
    <w:rsid w:val="007A41C9"/>
    <w:rsid w:val="007A4A25"/>
    <w:rsid w:val="007A7BEB"/>
    <w:rsid w:val="007B07DE"/>
    <w:rsid w:val="007B20B5"/>
    <w:rsid w:val="007B4700"/>
    <w:rsid w:val="007C3E41"/>
    <w:rsid w:val="007C6860"/>
    <w:rsid w:val="007C7B22"/>
    <w:rsid w:val="007C7E10"/>
    <w:rsid w:val="007D0D87"/>
    <w:rsid w:val="007D239F"/>
    <w:rsid w:val="007D3CF3"/>
    <w:rsid w:val="007D602D"/>
    <w:rsid w:val="007D6B0E"/>
    <w:rsid w:val="007D7D17"/>
    <w:rsid w:val="007E0209"/>
    <w:rsid w:val="007E28EF"/>
    <w:rsid w:val="007E4677"/>
    <w:rsid w:val="007E4C53"/>
    <w:rsid w:val="007E50F3"/>
    <w:rsid w:val="007E6B92"/>
    <w:rsid w:val="007E74B6"/>
    <w:rsid w:val="007F15B9"/>
    <w:rsid w:val="007F662E"/>
    <w:rsid w:val="00800518"/>
    <w:rsid w:val="00802603"/>
    <w:rsid w:val="00803F36"/>
    <w:rsid w:val="00804823"/>
    <w:rsid w:val="008063C6"/>
    <w:rsid w:val="00810A07"/>
    <w:rsid w:val="00812A5B"/>
    <w:rsid w:val="0081375C"/>
    <w:rsid w:val="00815C3C"/>
    <w:rsid w:val="008163DD"/>
    <w:rsid w:val="0082202A"/>
    <w:rsid w:val="00822FEC"/>
    <w:rsid w:val="008261B1"/>
    <w:rsid w:val="008278BE"/>
    <w:rsid w:val="0082790F"/>
    <w:rsid w:val="008324F8"/>
    <w:rsid w:val="0084028A"/>
    <w:rsid w:val="00840CDC"/>
    <w:rsid w:val="00840EEC"/>
    <w:rsid w:val="008418C3"/>
    <w:rsid w:val="00843632"/>
    <w:rsid w:val="00843950"/>
    <w:rsid w:val="008453B7"/>
    <w:rsid w:val="00845F73"/>
    <w:rsid w:val="008500B8"/>
    <w:rsid w:val="00851E2B"/>
    <w:rsid w:val="008523FB"/>
    <w:rsid w:val="00852F93"/>
    <w:rsid w:val="0085539E"/>
    <w:rsid w:val="008559C1"/>
    <w:rsid w:val="008571E7"/>
    <w:rsid w:val="00861E03"/>
    <w:rsid w:val="00862090"/>
    <w:rsid w:val="00862E06"/>
    <w:rsid w:val="00865134"/>
    <w:rsid w:val="008679CC"/>
    <w:rsid w:val="00867FC0"/>
    <w:rsid w:val="00873720"/>
    <w:rsid w:val="00875422"/>
    <w:rsid w:val="0087571A"/>
    <w:rsid w:val="00876C2E"/>
    <w:rsid w:val="00876FC1"/>
    <w:rsid w:val="008773C7"/>
    <w:rsid w:val="00880D69"/>
    <w:rsid w:val="0088361A"/>
    <w:rsid w:val="00884E4D"/>
    <w:rsid w:val="00891C28"/>
    <w:rsid w:val="008934BE"/>
    <w:rsid w:val="008948B4"/>
    <w:rsid w:val="00895F92"/>
    <w:rsid w:val="00897BD1"/>
    <w:rsid w:val="008A24D9"/>
    <w:rsid w:val="008A5DAA"/>
    <w:rsid w:val="008A5F30"/>
    <w:rsid w:val="008A6702"/>
    <w:rsid w:val="008A76E4"/>
    <w:rsid w:val="008B108B"/>
    <w:rsid w:val="008B2787"/>
    <w:rsid w:val="008B2E00"/>
    <w:rsid w:val="008B37AE"/>
    <w:rsid w:val="008B396B"/>
    <w:rsid w:val="008B3DA8"/>
    <w:rsid w:val="008B4B49"/>
    <w:rsid w:val="008C0BA7"/>
    <w:rsid w:val="008C497D"/>
    <w:rsid w:val="008C5027"/>
    <w:rsid w:val="008C6A03"/>
    <w:rsid w:val="008D24DE"/>
    <w:rsid w:val="008D4854"/>
    <w:rsid w:val="008D525E"/>
    <w:rsid w:val="008D7D10"/>
    <w:rsid w:val="008E113C"/>
    <w:rsid w:val="008E22F4"/>
    <w:rsid w:val="008E27A0"/>
    <w:rsid w:val="008E328F"/>
    <w:rsid w:val="008E51CA"/>
    <w:rsid w:val="008E687B"/>
    <w:rsid w:val="008F24AD"/>
    <w:rsid w:val="008F34B9"/>
    <w:rsid w:val="008F4A12"/>
    <w:rsid w:val="008F7E84"/>
    <w:rsid w:val="00903652"/>
    <w:rsid w:val="00903EC3"/>
    <w:rsid w:val="00906CD2"/>
    <w:rsid w:val="009072CC"/>
    <w:rsid w:val="00907692"/>
    <w:rsid w:val="00907C1F"/>
    <w:rsid w:val="0091111E"/>
    <w:rsid w:val="009137EA"/>
    <w:rsid w:val="009202A4"/>
    <w:rsid w:val="009241EE"/>
    <w:rsid w:val="0092421F"/>
    <w:rsid w:val="00926BD0"/>
    <w:rsid w:val="009273CE"/>
    <w:rsid w:val="009301E0"/>
    <w:rsid w:val="009353A1"/>
    <w:rsid w:val="00936AC1"/>
    <w:rsid w:val="0094003D"/>
    <w:rsid w:val="0094205B"/>
    <w:rsid w:val="00943312"/>
    <w:rsid w:val="00943527"/>
    <w:rsid w:val="00943802"/>
    <w:rsid w:val="0094437B"/>
    <w:rsid w:val="0094502F"/>
    <w:rsid w:val="00946229"/>
    <w:rsid w:val="00951AB2"/>
    <w:rsid w:val="00953D99"/>
    <w:rsid w:val="00964B92"/>
    <w:rsid w:val="00965459"/>
    <w:rsid w:val="00965961"/>
    <w:rsid w:val="00965E1B"/>
    <w:rsid w:val="009667A2"/>
    <w:rsid w:val="009723C3"/>
    <w:rsid w:val="00973D42"/>
    <w:rsid w:val="00974E2E"/>
    <w:rsid w:val="0098184E"/>
    <w:rsid w:val="009835DB"/>
    <w:rsid w:val="00983BC1"/>
    <w:rsid w:val="00983FBE"/>
    <w:rsid w:val="00985185"/>
    <w:rsid w:val="00985362"/>
    <w:rsid w:val="009869C0"/>
    <w:rsid w:val="00990659"/>
    <w:rsid w:val="0099214B"/>
    <w:rsid w:val="00992518"/>
    <w:rsid w:val="00992A05"/>
    <w:rsid w:val="00993818"/>
    <w:rsid w:val="0099638B"/>
    <w:rsid w:val="00996C77"/>
    <w:rsid w:val="00997F0A"/>
    <w:rsid w:val="009A0F40"/>
    <w:rsid w:val="009A1EB2"/>
    <w:rsid w:val="009A25C4"/>
    <w:rsid w:val="009A3C0B"/>
    <w:rsid w:val="009A65C1"/>
    <w:rsid w:val="009A66E1"/>
    <w:rsid w:val="009B146B"/>
    <w:rsid w:val="009B373E"/>
    <w:rsid w:val="009B5861"/>
    <w:rsid w:val="009B7314"/>
    <w:rsid w:val="009C1F14"/>
    <w:rsid w:val="009C280A"/>
    <w:rsid w:val="009C3F82"/>
    <w:rsid w:val="009C503B"/>
    <w:rsid w:val="009C57F8"/>
    <w:rsid w:val="009C628D"/>
    <w:rsid w:val="009C7FAF"/>
    <w:rsid w:val="009D380A"/>
    <w:rsid w:val="009D3E44"/>
    <w:rsid w:val="009D5A03"/>
    <w:rsid w:val="009D7371"/>
    <w:rsid w:val="009D7EF8"/>
    <w:rsid w:val="009E01B8"/>
    <w:rsid w:val="009E114A"/>
    <w:rsid w:val="009E3C61"/>
    <w:rsid w:val="009F342F"/>
    <w:rsid w:val="009F74AE"/>
    <w:rsid w:val="009F7A93"/>
    <w:rsid w:val="00A0024A"/>
    <w:rsid w:val="00A02B92"/>
    <w:rsid w:val="00A0568F"/>
    <w:rsid w:val="00A068A9"/>
    <w:rsid w:val="00A06D5E"/>
    <w:rsid w:val="00A14FEE"/>
    <w:rsid w:val="00A173F4"/>
    <w:rsid w:val="00A22C1A"/>
    <w:rsid w:val="00A23AF5"/>
    <w:rsid w:val="00A35F37"/>
    <w:rsid w:val="00A45EA0"/>
    <w:rsid w:val="00A50613"/>
    <w:rsid w:val="00A5125B"/>
    <w:rsid w:val="00A5329F"/>
    <w:rsid w:val="00A5366F"/>
    <w:rsid w:val="00A5719D"/>
    <w:rsid w:val="00A5745F"/>
    <w:rsid w:val="00A60B43"/>
    <w:rsid w:val="00A6117E"/>
    <w:rsid w:val="00A614E5"/>
    <w:rsid w:val="00A61F98"/>
    <w:rsid w:val="00A65134"/>
    <w:rsid w:val="00A65B99"/>
    <w:rsid w:val="00A65D4A"/>
    <w:rsid w:val="00A6675E"/>
    <w:rsid w:val="00A67222"/>
    <w:rsid w:val="00A678D1"/>
    <w:rsid w:val="00A708AC"/>
    <w:rsid w:val="00A72640"/>
    <w:rsid w:val="00A727CD"/>
    <w:rsid w:val="00A728D7"/>
    <w:rsid w:val="00A74149"/>
    <w:rsid w:val="00A849EC"/>
    <w:rsid w:val="00A86F0A"/>
    <w:rsid w:val="00A875E2"/>
    <w:rsid w:val="00A87979"/>
    <w:rsid w:val="00A91738"/>
    <w:rsid w:val="00A93FD4"/>
    <w:rsid w:val="00A9597E"/>
    <w:rsid w:val="00A95BE1"/>
    <w:rsid w:val="00A968CD"/>
    <w:rsid w:val="00AA08ED"/>
    <w:rsid w:val="00AA26FA"/>
    <w:rsid w:val="00AA48F1"/>
    <w:rsid w:val="00AA69D8"/>
    <w:rsid w:val="00AB0D5E"/>
    <w:rsid w:val="00AC0C5D"/>
    <w:rsid w:val="00AC2E9E"/>
    <w:rsid w:val="00AC36AE"/>
    <w:rsid w:val="00AC70AE"/>
    <w:rsid w:val="00AC7887"/>
    <w:rsid w:val="00AD06FB"/>
    <w:rsid w:val="00AD0D83"/>
    <w:rsid w:val="00AD0F9D"/>
    <w:rsid w:val="00AD247B"/>
    <w:rsid w:val="00AE0715"/>
    <w:rsid w:val="00AE2FB3"/>
    <w:rsid w:val="00AE7992"/>
    <w:rsid w:val="00AF0178"/>
    <w:rsid w:val="00AF3972"/>
    <w:rsid w:val="00AF42E7"/>
    <w:rsid w:val="00AF5000"/>
    <w:rsid w:val="00AF6699"/>
    <w:rsid w:val="00B00524"/>
    <w:rsid w:val="00B01CE7"/>
    <w:rsid w:val="00B02BB8"/>
    <w:rsid w:val="00B0347B"/>
    <w:rsid w:val="00B1067E"/>
    <w:rsid w:val="00B13C89"/>
    <w:rsid w:val="00B14458"/>
    <w:rsid w:val="00B2087D"/>
    <w:rsid w:val="00B2147C"/>
    <w:rsid w:val="00B2186A"/>
    <w:rsid w:val="00B2261F"/>
    <w:rsid w:val="00B25F4A"/>
    <w:rsid w:val="00B26BF2"/>
    <w:rsid w:val="00B26DBB"/>
    <w:rsid w:val="00B3020D"/>
    <w:rsid w:val="00B33263"/>
    <w:rsid w:val="00B3510E"/>
    <w:rsid w:val="00B40854"/>
    <w:rsid w:val="00B42544"/>
    <w:rsid w:val="00B45632"/>
    <w:rsid w:val="00B4744D"/>
    <w:rsid w:val="00B51A37"/>
    <w:rsid w:val="00B54A0E"/>
    <w:rsid w:val="00B55A21"/>
    <w:rsid w:val="00B56D29"/>
    <w:rsid w:val="00B57F83"/>
    <w:rsid w:val="00B65495"/>
    <w:rsid w:val="00B66F70"/>
    <w:rsid w:val="00B67EFE"/>
    <w:rsid w:val="00B759D9"/>
    <w:rsid w:val="00B75C99"/>
    <w:rsid w:val="00B76050"/>
    <w:rsid w:val="00B76D27"/>
    <w:rsid w:val="00B81D90"/>
    <w:rsid w:val="00B85227"/>
    <w:rsid w:val="00B866DB"/>
    <w:rsid w:val="00B87FAD"/>
    <w:rsid w:val="00B9271F"/>
    <w:rsid w:val="00B92DB8"/>
    <w:rsid w:val="00BA0A54"/>
    <w:rsid w:val="00BA4833"/>
    <w:rsid w:val="00BA5DB9"/>
    <w:rsid w:val="00BA6997"/>
    <w:rsid w:val="00BB05A0"/>
    <w:rsid w:val="00BB1EAA"/>
    <w:rsid w:val="00BB2215"/>
    <w:rsid w:val="00BB2392"/>
    <w:rsid w:val="00BB2774"/>
    <w:rsid w:val="00BB2930"/>
    <w:rsid w:val="00BB55D5"/>
    <w:rsid w:val="00BB64FE"/>
    <w:rsid w:val="00BB7FB8"/>
    <w:rsid w:val="00BC058F"/>
    <w:rsid w:val="00BC1089"/>
    <w:rsid w:val="00BC2233"/>
    <w:rsid w:val="00BC34FB"/>
    <w:rsid w:val="00BC3AC8"/>
    <w:rsid w:val="00BC4246"/>
    <w:rsid w:val="00BC5F43"/>
    <w:rsid w:val="00BC6C54"/>
    <w:rsid w:val="00BD032F"/>
    <w:rsid w:val="00BD139B"/>
    <w:rsid w:val="00BD2357"/>
    <w:rsid w:val="00BD23C3"/>
    <w:rsid w:val="00BD25DE"/>
    <w:rsid w:val="00BD2828"/>
    <w:rsid w:val="00BD436A"/>
    <w:rsid w:val="00BD5300"/>
    <w:rsid w:val="00BE24EB"/>
    <w:rsid w:val="00BE38E9"/>
    <w:rsid w:val="00BE47C1"/>
    <w:rsid w:val="00BE57AB"/>
    <w:rsid w:val="00BE5FA1"/>
    <w:rsid w:val="00BE7D56"/>
    <w:rsid w:val="00BF1FA3"/>
    <w:rsid w:val="00BF267C"/>
    <w:rsid w:val="00BF428B"/>
    <w:rsid w:val="00BF75F7"/>
    <w:rsid w:val="00C0114D"/>
    <w:rsid w:val="00C0293B"/>
    <w:rsid w:val="00C1300E"/>
    <w:rsid w:val="00C1646F"/>
    <w:rsid w:val="00C1689B"/>
    <w:rsid w:val="00C17617"/>
    <w:rsid w:val="00C17E51"/>
    <w:rsid w:val="00C20E39"/>
    <w:rsid w:val="00C23C59"/>
    <w:rsid w:val="00C2475C"/>
    <w:rsid w:val="00C26C02"/>
    <w:rsid w:val="00C27CD7"/>
    <w:rsid w:val="00C32FD7"/>
    <w:rsid w:val="00C33948"/>
    <w:rsid w:val="00C36CEA"/>
    <w:rsid w:val="00C373F2"/>
    <w:rsid w:val="00C4026E"/>
    <w:rsid w:val="00C4238F"/>
    <w:rsid w:val="00C4454A"/>
    <w:rsid w:val="00C45A1C"/>
    <w:rsid w:val="00C51BB8"/>
    <w:rsid w:val="00C52B4F"/>
    <w:rsid w:val="00C54CB5"/>
    <w:rsid w:val="00C57F2F"/>
    <w:rsid w:val="00C62974"/>
    <w:rsid w:val="00C65921"/>
    <w:rsid w:val="00C65D09"/>
    <w:rsid w:val="00C664C5"/>
    <w:rsid w:val="00C71EA9"/>
    <w:rsid w:val="00C744FB"/>
    <w:rsid w:val="00C746ED"/>
    <w:rsid w:val="00C771A6"/>
    <w:rsid w:val="00C81C99"/>
    <w:rsid w:val="00C822D6"/>
    <w:rsid w:val="00C8314A"/>
    <w:rsid w:val="00C83220"/>
    <w:rsid w:val="00C8422C"/>
    <w:rsid w:val="00C85218"/>
    <w:rsid w:val="00C86F27"/>
    <w:rsid w:val="00C90812"/>
    <w:rsid w:val="00C9179A"/>
    <w:rsid w:val="00C91D67"/>
    <w:rsid w:val="00C92306"/>
    <w:rsid w:val="00C93425"/>
    <w:rsid w:val="00C94702"/>
    <w:rsid w:val="00C97826"/>
    <w:rsid w:val="00C978AD"/>
    <w:rsid w:val="00CA5F98"/>
    <w:rsid w:val="00CA68DB"/>
    <w:rsid w:val="00CB0629"/>
    <w:rsid w:val="00CB2A02"/>
    <w:rsid w:val="00CB3B0F"/>
    <w:rsid w:val="00CB5BFA"/>
    <w:rsid w:val="00CB60B0"/>
    <w:rsid w:val="00CB70EB"/>
    <w:rsid w:val="00CC04FF"/>
    <w:rsid w:val="00CC086A"/>
    <w:rsid w:val="00CC0904"/>
    <w:rsid w:val="00CC15B8"/>
    <w:rsid w:val="00CC4DBF"/>
    <w:rsid w:val="00CC6859"/>
    <w:rsid w:val="00CC7F80"/>
    <w:rsid w:val="00CD37C3"/>
    <w:rsid w:val="00CD5DB0"/>
    <w:rsid w:val="00CE3072"/>
    <w:rsid w:val="00CE3519"/>
    <w:rsid w:val="00CE4095"/>
    <w:rsid w:val="00CE7849"/>
    <w:rsid w:val="00CF0332"/>
    <w:rsid w:val="00CF1CED"/>
    <w:rsid w:val="00CF7085"/>
    <w:rsid w:val="00CF719A"/>
    <w:rsid w:val="00CF793D"/>
    <w:rsid w:val="00CF7A76"/>
    <w:rsid w:val="00D0115F"/>
    <w:rsid w:val="00D02F40"/>
    <w:rsid w:val="00D0360A"/>
    <w:rsid w:val="00D03D8D"/>
    <w:rsid w:val="00D07A87"/>
    <w:rsid w:val="00D1070B"/>
    <w:rsid w:val="00D146FB"/>
    <w:rsid w:val="00D14A3F"/>
    <w:rsid w:val="00D174B0"/>
    <w:rsid w:val="00D22147"/>
    <w:rsid w:val="00D30D9E"/>
    <w:rsid w:val="00D3174A"/>
    <w:rsid w:val="00D3275B"/>
    <w:rsid w:val="00D33AAE"/>
    <w:rsid w:val="00D358A0"/>
    <w:rsid w:val="00D3766D"/>
    <w:rsid w:val="00D40F79"/>
    <w:rsid w:val="00D41779"/>
    <w:rsid w:val="00D42C2A"/>
    <w:rsid w:val="00D42CA1"/>
    <w:rsid w:val="00D44C9C"/>
    <w:rsid w:val="00D50963"/>
    <w:rsid w:val="00D51E1A"/>
    <w:rsid w:val="00D53E0E"/>
    <w:rsid w:val="00D567E8"/>
    <w:rsid w:val="00D56978"/>
    <w:rsid w:val="00D62CA1"/>
    <w:rsid w:val="00D63EEC"/>
    <w:rsid w:val="00D662B7"/>
    <w:rsid w:val="00D66FA0"/>
    <w:rsid w:val="00D67128"/>
    <w:rsid w:val="00D70BBC"/>
    <w:rsid w:val="00D726BD"/>
    <w:rsid w:val="00D76977"/>
    <w:rsid w:val="00D824C5"/>
    <w:rsid w:val="00D83028"/>
    <w:rsid w:val="00D84EA0"/>
    <w:rsid w:val="00D85CBC"/>
    <w:rsid w:val="00D85EFC"/>
    <w:rsid w:val="00D86EDC"/>
    <w:rsid w:val="00D9098B"/>
    <w:rsid w:val="00D90A20"/>
    <w:rsid w:val="00D92074"/>
    <w:rsid w:val="00D96DDC"/>
    <w:rsid w:val="00D9760A"/>
    <w:rsid w:val="00DA64FC"/>
    <w:rsid w:val="00DA7822"/>
    <w:rsid w:val="00DB1872"/>
    <w:rsid w:val="00DB2CE7"/>
    <w:rsid w:val="00DB3BB3"/>
    <w:rsid w:val="00DB3F20"/>
    <w:rsid w:val="00DB743A"/>
    <w:rsid w:val="00DC00A3"/>
    <w:rsid w:val="00DC3A93"/>
    <w:rsid w:val="00DC3DD0"/>
    <w:rsid w:val="00DC3FA0"/>
    <w:rsid w:val="00DC6C7E"/>
    <w:rsid w:val="00DD3F81"/>
    <w:rsid w:val="00DD6521"/>
    <w:rsid w:val="00DD785E"/>
    <w:rsid w:val="00DE6590"/>
    <w:rsid w:val="00DE68A0"/>
    <w:rsid w:val="00DF2677"/>
    <w:rsid w:val="00DF37D8"/>
    <w:rsid w:val="00DF7C28"/>
    <w:rsid w:val="00DF7FA0"/>
    <w:rsid w:val="00E0100E"/>
    <w:rsid w:val="00E02F8E"/>
    <w:rsid w:val="00E0606A"/>
    <w:rsid w:val="00E07DD7"/>
    <w:rsid w:val="00E106E0"/>
    <w:rsid w:val="00E10982"/>
    <w:rsid w:val="00E16C69"/>
    <w:rsid w:val="00E16DBD"/>
    <w:rsid w:val="00E17AF0"/>
    <w:rsid w:val="00E20AEB"/>
    <w:rsid w:val="00E20D00"/>
    <w:rsid w:val="00E21EF9"/>
    <w:rsid w:val="00E22D8A"/>
    <w:rsid w:val="00E23532"/>
    <w:rsid w:val="00E245AD"/>
    <w:rsid w:val="00E30919"/>
    <w:rsid w:val="00E30E9B"/>
    <w:rsid w:val="00E31650"/>
    <w:rsid w:val="00E3237C"/>
    <w:rsid w:val="00E33105"/>
    <w:rsid w:val="00E34B51"/>
    <w:rsid w:val="00E35599"/>
    <w:rsid w:val="00E36356"/>
    <w:rsid w:val="00E41110"/>
    <w:rsid w:val="00E44142"/>
    <w:rsid w:val="00E4797E"/>
    <w:rsid w:val="00E568FE"/>
    <w:rsid w:val="00E62481"/>
    <w:rsid w:val="00E628FB"/>
    <w:rsid w:val="00E64C3E"/>
    <w:rsid w:val="00E65F99"/>
    <w:rsid w:val="00E70986"/>
    <w:rsid w:val="00E7243A"/>
    <w:rsid w:val="00E72907"/>
    <w:rsid w:val="00E73E21"/>
    <w:rsid w:val="00E74BCA"/>
    <w:rsid w:val="00E778E8"/>
    <w:rsid w:val="00E801E4"/>
    <w:rsid w:val="00E80845"/>
    <w:rsid w:val="00E83CDE"/>
    <w:rsid w:val="00E843FF"/>
    <w:rsid w:val="00E84566"/>
    <w:rsid w:val="00E85220"/>
    <w:rsid w:val="00E860D7"/>
    <w:rsid w:val="00E905FB"/>
    <w:rsid w:val="00E90E65"/>
    <w:rsid w:val="00E958C8"/>
    <w:rsid w:val="00E965AD"/>
    <w:rsid w:val="00E978D9"/>
    <w:rsid w:val="00EA16BD"/>
    <w:rsid w:val="00EA1D08"/>
    <w:rsid w:val="00EA2911"/>
    <w:rsid w:val="00EB1354"/>
    <w:rsid w:val="00EB2CB0"/>
    <w:rsid w:val="00EB3836"/>
    <w:rsid w:val="00EB473E"/>
    <w:rsid w:val="00EB4947"/>
    <w:rsid w:val="00EB63D6"/>
    <w:rsid w:val="00EB6FFD"/>
    <w:rsid w:val="00EC1682"/>
    <w:rsid w:val="00EC24E5"/>
    <w:rsid w:val="00EC5013"/>
    <w:rsid w:val="00EC5A36"/>
    <w:rsid w:val="00EC73FA"/>
    <w:rsid w:val="00ED30C2"/>
    <w:rsid w:val="00ED3F27"/>
    <w:rsid w:val="00ED7C45"/>
    <w:rsid w:val="00EE0208"/>
    <w:rsid w:val="00EE16D1"/>
    <w:rsid w:val="00EE1993"/>
    <w:rsid w:val="00EE2C5F"/>
    <w:rsid w:val="00EE33FE"/>
    <w:rsid w:val="00EF6EF3"/>
    <w:rsid w:val="00F04150"/>
    <w:rsid w:val="00F054F0"/>
    <w:rsid w:val="00F059F4"/>
    <w:rsid w:val="00F121CB"/>
    <w:rsid w:val="00F12DD1"/>
    <w:rsid w:val="00F16996"/>
    <w:rsid w:val="00F210A6"/>
    <w:rsid w:val="00F24C29"/>
    <w:rsid w:val="00F24D0E"/>
    <w:rsid w:val="00F24F4F"/>
    <w:rsid w:val="00F25529"/>
    <w:rsid w:val="00F25CEB"/>
    <w:rsid w:val="00F26088"/>
    <w:rsid w:val="00F30432"/>
    <w:rsid w:val="00F331E4"/>
    <w:rsid w:val="00F33F68"/>
    <w:rsid w:val="00F34DE9"/>
    <w:rsid w:val="00F426DB"/>
    <w:rsid w:val="00F45AC6"/>
    <w:rsid w:val="00F4618C"/>
    <w:rsid w:val="00F46C74"/>
    <w:rsid w:val="00F4783A"/>
    <w:rsid w:val="00F47C39"/>
    <w:rsid w:val="00F50B8F"/>
    <w:rsid w:val="00F50C46"/>
    <w:rsid w:val="00F5220C"/>
    <w:rsid w:val="00F55F0C"/>
    <w:rsid w:val="00F5682D"/>
    <w:rsid w:val="00F56896"/>
    <w:rsid w:val="00F56C39"/>
    <w:rsid w:val="00F62123"/>
    <w:rsid w:val="00F63B9C"/>
    <w:rsid w:val="00F6649D"/>
    <w:rsid w:val="00F664E8"/>
    <w:rsid w:val="00F715B4"/>
    <w:rsid w:val="00F75AD1"/>
    <w:rsid w:val="00F75C9A"/>
    <w:rsid w:val="00F763E1"/>
    <w:rsid w:val="00F8121F"/>
    <w:rsid w:val="00F8191C"/>
    <w:rsid w:val="00F83561"/>
    <w:rsid w:val="00F9271A"/>
    <w:rsid w:val="00FA04B3"/>
    <w:rsid w:val="00FA0CA3"/>
    <w:rsid w:val="00FA1863"/>
    <w:rsid w:val="00FA31FD"/>
    <w:rsid w:val="00FA418C"/>
    <w:rsid w:val="00FA5137"/>
    <w:rsid w:val="00FB01BA"/>
    <w:rsid w:val="00FB0A25"/>
    <w:rsid w:val="00FB1050"/>
    <w:rsid w:val="00FB1EFE"/>
    <w:rsid w:val="00FB2C60"/>
    <w:rsid w:val="00FB418B"/>
    <w:rsid w:val="00FB4AF8"/>
    <w:rsid w:val="00FB6BBB"/>
    <w:rsid w:val="00FC18C1"/>
    <w:rsid w:val="00FC3717"/>
    <w:rsid w:val="00FC662B"/>
    <w:rsid w:val="00FD3A89"/>
    <w:rsid w:val="00FE219A"/>
    <w:rsid w:val="00FE2C5B"/>
    <w:rsid w:val="00FE4178"/>
    <w:rsid w:val="00FE4A59"/>
    <w:rsid w:val="00FE6A45"/>
    <w:rsid w:val="00FE6AC3"/>
    <w:rsid w:val="00FE750D"/>
    <w:rsid w:val="00FF0012"/>
    <w:rsid w:val="00FF28DE"/>
    <w:rsid w:val="00FF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89"/>
    <w:rPr>
      <w:sz w:val="24"/>
      <w:szCs w:val="24"/>
    </w:rPr>
  </w:style>
  <w:style w:type="paragraph" w:styleId="Heading2">
    <w:name w:val="heading 2"/>
    <w:basedOn w:val="Normal"/>
    <w:link w:val="Heading2Char"/>
    <w:uiPriority w:val="9"/>
    <w:qFormat/>
    <w:rsid w:val="00F75A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2158C"/>
    <w:rPr>
      <w:sz w:val="20"/>
      <w:szCs w:val="20"/>
    </w:rPr>
  </w:style>
  <w:style w:type="character" w:styleId="FootnoteReference">
    <w:name w:val="footnote reference"/>
    <w:basedOn w:val="DefaultParagraphFont"/>
    <w:semiHidden/>
    <w:rsid w:val="0022158C"/>
    <w:rPr>
      <w:vertAlign w:val="superscript"/>
    </w:rPr>
  </w:style>
  <w:style w:type="table" w:styleId="TableGrid">
    <w:name w:val="Table Grid"/>
    <w:basedOn w:val="TableNormal"/>
    <w:uiPriority w:val="59"/>
    <w:rsid w:val="00221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2E40"/>
    <w:rPr>
      <w:rFonts w:ascii="Tahoma" w:hAnsi="Tahoma" w:cs="Tahoma"/>
      <w:sz w:val="16"/>
      <w:szCs w:val="16"/>
    </w:rPr>
  </w:style>
  <w:style w:type="paragraph" w:styleId="Footer">
    <w:name w:val="footer"/>
    <w:basedOn w:val="Normal"/>
    <w:rsid w:val="000670F8"/>
    <w:pPr>
      <w:tabs>
        <w:tab w:val="center" w:pos="4320"/>
        <w:tab w:val="right" w:pos="8640"/>
      </w:tabs>
    </w:pPr>
  </w:style>
  <w:style w:type="character" w:styleId="PageNumber">
    <w:name w:val="page number"/>
    <w:basedOn w:val="DefaultParagraphFont"/>
    <w:rsid w:val="000670F8"/>
  </w:style>
  <w:style w:type="character" w:styleId="Hyperlink">
    <w:name w:val="Hyperlink"/>
    <w:basedOn w:val="DefaultParagraphFont"/>
    <w:uiPriority w:val="99"/>
    <w:rsid w:val="00443F3E"/>
    <w:rPr>
      <w:color w:val="0000FF"/>
      <w:u w:val="single"/>
    </w:rPr>
  </w:style>
  <w:style w:type="character" w:customStyle="1" w:styleId="medium-font">
    <w:name w:val="medium-font"/>
    <w:basedOn w:val="DefaultParagraphFont"/>
    <w:rsid w:val="00443F3E"/>
  </w:style>
  <w:style w:type="character" w:styleId="Strong">
    <w:name w:val="Strong"/>
    <w:basedOn w:val="DefaultParagraphFont"/>
    <w:uiPriority w:val="22"/>
    <w:qFormat/>
    <w:rsid w:val="00443F3E"/>
    <w:rPr>
      <w:b/>
      <w:bCs/>
    </w:rPr>
  </w:style>
  <w:style w:type="character" w:styleId="PlaceholderText">
    <w:name w:val="Placeholder Text"/>
    <w:basedOn w:val="DefaultParagraphFont"/>
    <w:uiPriority w:val="99"/>
    <w:semiHidden/>
    <w:rsid w:val="00BF428B"/>
    <w:rPr>
      <w:color w:val="808080"/>
    </w:rPr>
  </w:style>
  <w:style w:type="paragraph" w:customStyle="1" w:styleId="Footnote">
    <w:name w:val="Footnote"/>
    <w:basedOn w:val="Footer"/>
    <w:rsid w:val="00C32FD7"/>
    <w:rPr>
      <w:sz w:val="20"/>
      <w:szCs w:val="20"/>
    </w:rPr>
  </w:style>
  <w:style w:type="paragraph" w:styleId="Caption">
    <w:name w:val="caption"/>
    <w:basedOn w:val="Normal"/>
    <w:next w:val="Normal"/>
    <w:qFormat/>
    <w:rsid w:val="00AD06FB"/>
    <w:pPr>
      <w:spacing w:before="120" w:after="120"/>
    </w:pPr>
    <w:rPr>
      <w:b/>
      <w:bCs/>
      <w:sz w:val="20"/>
      <w:szCs w:val="20"/>
    </w:rPr>
  </w:style>
  <w:style w:type="character" w:styleId="CommentReference">
    <w:name w:val="annotation reference"/>
    <w:basedOn w:val="DefaultParagraphFont"/>
    <w:uiPriority w:val="99"/>
    <w:semiHidden/>
    <w:unhideWhenUsed/>
    <w:rsid w:val="00EB2CB0"/>
    <w:rPr>
      <w:sz w:val="16"/>
      <w:szCs w:val="16"/>
    </w:rPr>
  </w:style>
  <w:style w:type="paragraph" w:styleId="CommentText">
    <w:name w:val="annotation text"/>
    <w:basedOn w:val="Normal"/>
    <w:link w:val="CommentTextChar"/>
    <w:uiPriority w:val="99"/>
    <w:semiHidden/>
    <w:unhideWhenUsed/>
    <w:rsid w:val="00EB2CB0"/>
    <w:rPr>
      <w:sz w:val="20"/>
      <w:szCs w:val="20"/>
    </w:rPr>
  </w:style>
  <w:style w:type="character" w:customStyle="1" w:styleId="CommentTextChar">
    <w:name w:val="Comment Text Char"/>
    <w:basedOn w:val="DefaultParagraphFont"/>
    <w:link w:val="CommentText"/>
    <w:uiPriority w:val="99"/>
    <w:semiHidden/>
    <w:rsid w:val="00EB2CB0"/>
  </w:style>
  <w:style w:type="paragraph" w:styleId="CommentSubject">
    <w:name w:val="annotation subject"/>
    <w:basedOn w:val="CommentText"/>
    <w:next w:val="CommentText"/>
    <w:link w:val="CommentSubjectChar"/>
    <w:uiPriority w:val="99"/>
    <w:semiHidden/>
    <w:unhideWhenUsed/>
    <w:rsid w:val="00EB2CB0"/>
    <w:rPr>
      <w:b/>
      <w:bCs/>
    </w:rPr>
  </w:style>
  <w:style w:type="character" w:customStyle="1" w:styleId="CommentSubjectChar">
    <w:name w:val="Comment Subject Char"/>
    <w:basedOn w:val="CommentTextChar"/>
    <w:link w:val="CommentSubject"/>
    <w:uiPriority w:val="99"/>
    <w:semiHidden/>
    <w:rsid w:val="00EB2CB0"/>
    <w:rPr>
      <w:b/>
      <w:bCs/>
    </w:rPr>
  </w:style>
  <w:style w:type="paragraph" w:customStyle="1" w:styleId="MTDisplayEquation">
    <w:name w:val="MTDisplayEquation"/>
    <w:basedOn w:val="Normal"/>
    <w:next w:val="Normal"/>
    <w:link w:val="MTDisplayEquationChar"/>
    <w:rsid w:val="0057686E"/>
    <w:pPr>
      <w:tabs>
        <w:tab w:val="center" w:pos="4320"/>
        <w:tab w:val="right" w:pos="8640"/>
      </w:tabs>
      <w:spacing w:line="480" w:lineRule="auto"/>
    </w:pPr>
  </w:style>
  <w:style w:type="character" w:customStyle="1" w:styleId="MTDisplayEquationChar">
    <w:name w:val="MTDisplayEquation Char"/>
    <w:basedOn w:val="DefaultParagraphFont"/>
    <w:link w:val="MTDisplayEquation"/>
    <w:rsid w:val="0057686E"/>
    <w:rPr>
      <w:sz w:val="24"/>
      <w:szCs w:val="24"/>
    </w:rPr>
  </w:style>
  <w:style w:type="paragraph" w:styleId="ListParagraph">
    <w:name w:val="List Paragraph"/>
    <w:basedOn w:val="Normal"/>
    <w:uiPriority w:val="34"/>
    <w:qFormat/>
    <w:rsid w:val="00CF1CED"/>
    <w:pPr>
      <w:ind w:left="720"/>
      <w:contextualSpacing/>
    </w:pPr>
  </w:style>
  <w:style w:type="character" w:customStyle="1" w:styleId="title-link-wrapper">
    <w:name w:val="title-link-wrapper"/>
    <w:basedOn w:val="DefaultParagraphFont"/>
    <w:rsid w:val="001D4452"/>
  </w:style>
  <w:style w:type="character" w:customStyle="1" w:styleId="hidden">
    <w:name w:val="hidden"/>
    <w:basedOn w:val="DefaultParagraphFont"/>
    <w:rsid w:val="001D4452"/>
  </w:style>
  <w:style w:type="character" w:styleId="HTMLCite">
    <w:name w:val="HTML Cite"/>
    <w:basedOn w:val="DefaultParagraphFont"/>
    <w:uiPriority w:val="99"/>
    <w:unhideWhenUsed/>
    <w:rsid w:val="000F007A"/>
    <w:rPr>
      <w:i/>
      <w:iCs/>
    </w:rPr>
  </w:style>
  <w:style w:type="character" w:customStyle="1" w:styleId="apple-converted-space">
    <w:name w:val="apple-converted-space"/>
    <w:basedOn w:val="DefaultParagraphFont"/>
    <w:rsid w:val="000F007A"/>
  </w:style>
  <w:style w:type="paragraph" w:styleId="HTMLPreformatted">
    <w:name w:val="HTML Preformatted"/>
    <w:basedOn w:val="Normal"/>
    <w:link w:val="HTMLPreformattedChar"/>
    <w:uiPriority w:val="99"/>
    <w:unhideWhenUsed/>
    <w:rsid w:val="002E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E104A"/>
    <w:rPr>
      <w:rFonts w:ascii="Courier New" w:hAnsi="Courier New" w:cs="Courier New"/>
    </w:rPr>
  </w:style>
  <w:style w:type="paragraph" w:styleId="Header">
    <w:name w:val="header"/>
    <w:basedOn w:val="Normal"/>
    <w:link w:val="HeaderChar"/>
    <w:rsid w:val="00E36356"/>
    <w:pPr>
      <w:tabs>
        <w:tab w:val="center" w:pos="4680"/>
        <w:tab w:val="right" w:pos="9360"/>
      </w:tabs>
    </w:pPr>
  </w:style>
  <w:style w:type="character" w:customStyle="1" w:styleId="HeaderChar">
    <w:name w:val="Header Char"/>
    <w:basedOn w:val="DefaultParagraphFont"/>
    <w:link w:val="Header"/>
    <w:rsid w:val="00E36356"/>
    <w:rPr>
      <w:sz w:val="24"/>
      <w:szCs w:val="24"/>
    </w:rPr>
  </w:style>
  <w:style w:type="paragraph" w:styleId="Revision">
    <w:name w:val="Revision"/>
    <w:hidden/>
    <w:uiPriority w:val="99"/>
    <w:semiHidden/>
    <w:rsid w:val="00FF0012"/>
    <w:rPr>
      <w:sz w:val="24"/>
      <w:szCs w:val="24"/>
    </w:rPr>
  </w:style>
  <w:style w:type="character" w:customStyle="1" w:styleId="Heading2Char">
    <w:name w:val="Heading 2 Char"/>
    <w:basedOn w:val="DefaultParagraphFont"/>
    <w:link w:val="Heading2"/>
    <w:uiPriority w:val="9"/>
    <w:rsid w:val="00F75AD1"/>
    <w:rPr>
      <w:b/>
      <w:bCs/>
      <w:sz w:val="36"/>
      <w:szCs w:val="36"/>
    </w:rPr>
  </w:style>
  <w:style w:type="character" w:customStyle="1" w:styleId="pagetitle">
    <w:name w:val="pagetitle"/>
    <w:basedOn w:val="DefaultParagraphFont"/>
    <w:rsid w:val="004C7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089"/>
    <w:rPr>
      <w:sz w:val="24"/>
      <w:szCs w:val="24"/>
    </w:rPr>
  </w:style>
  <w:style w:type="paragraph" w:styleId="Heading2">
    <w:name w:val="heading 2"/>
    <w:basedOn w:val="Normal"/>
    <w:link w:val="Heading2Char"/>
    <w:uiPriority w:val="9"/>
    <w:qFormat/>
    <w:rsid w:val="00F75AD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2158C"/>
    <w:rPr>
      <w:sz w:val="20"/>
      <w:szCs w:val="20"/>
    </w:rPr>
  </w:style>
  <w:style w:type="character" w:styleId="FootnoteReference">
    <w:name w:val="footnote reference"/>
    <w:basedOn w:val="DefaultParagraphFont"/>
    <w:semiHidden/>
    <w:rsid w:val="0022158C"/>
    <w:rPr>
      <w:vertAlign w:val="superscript"/>
    </w:rPr>
  </w:style>
  <w:style w:type="table" w:styleId="TableGrid">
    <w:name w:val="Table Grid"/>
    <w:basedOn w:val="TableNormal"/>
    <w:uiPriority w:val="59"/>
    <w:rsid w:val="00221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2E40"/>
    <w:rPr>
      <w:rFonts w:ascii="Tahoma" w:hAnsi="Tahoma" w:cs="Tahoma"/>
      <w:sz w:val="16"/>
      <w:szCs w:val="16"/>
    </w:rPr>
  </w:style>
  <w:style w:type="paragraph" w:styleId="Footer">
    <w:name w:val="footer"/>
    <w:basedOn w:val="Normal"/>
    <w:rsid w:val="000670F8"/>
    <w:pPr>
      <w:tabs>
        <w:tab w:val="center" w:pos="4320"/>
        <w:tab w:val="right" w:pos="8640"/>
      </w:tabs>
    </w:pPr>
  </w:style>
  <w:style w:type="character" w:styleId="PageNumber">
    <w:name w:val="page number"/>
    <w:basedOn w:val="DefaultParagraphFont"/>
    <w:rsid w:val="000670F8"/>
  </w:style>
  <w:style w:type="character" w:styleId="Hyperlink">
    <w:name w:val="Hyperlink"/>
    <w:basedOn w:val="DefaultParagraphFont"/>
    <w:uiPriority w:val="99"/>
    <w:rsid w:val="00443F3E"/>
    <w:rPr>
      <w:color w:val="0000FF"/>
      <w:u w:val="single"/>
    </w:rPr>
  </w:style>
  <w:style w:type="character" w:customStyle="1" w:styleId="medium-font">
    <w:name w:val="medium-font"/>
    <w:basedOn w:val="DefaultParagraphFont"/>
    <w:rsid w:val="00443F3E"/>
  </w:style>
  <w:style w:type="character" w:styleId="Strong">
    <w:name w:val="Strong"/>
    <w:basedOn w:val="DefaultParagraphFont"/>
    <w:uiPriority w:val="22"/>
    <w:qFormat/>
    <w:rsid w:val="00443F3E"/>
    <w:rPr>
      <w:b/>
      <w:bCs/>
    </w:rPr>
  </w:style>
  <w:style w:type="character" w:styleId="PlaceholderText">
    <w:name w:val="Placeholder Text"/>
    <w:basedOn w:val="DefaultParagraphFont"/>
    <w:uiPriority w:val="99"/>
    <w:semiHidden/>
    <w:rsid w:val="00BF428B"/>
    <w:rPr>
      <w:color w:val="808080"/>
    </w:rPr>
  </w:style>
  <w:style w:type="paragraph" w:customStyle="1" w:styleId="Footnote">
    <w:name w:val="Footnote"/>
    <w:basedOn w:val="Footer"/>
    <w:rsid w:val="00C32FD7"/>
    <w:rPr>
      <w:sz w:val="20"/>
      <w:szCs w:val="20"/>
    </w:rPr>
  </w:style>
  <w:style w:type="paragraph" w:styleId="Caption">
    <w:name w:val="caption"/>
    <w:basedOn w:val="Normal"/>
    <w:next w:val="Normal"/>
    <w:qFormat/>
    <w:rsid w:val="00AD06FB"/>
    <w:pPr>
      <w:spacing w:before="120" w:after="120"/>
    </w:pPr>
    <w:rPr>
      <w:b/>
      <w:bCs/>
      <w:sz w:val="20"/>
      <w:szCs w:val="20"/>
    </w:rPr>
  </w:style>
  <w:style w:type="character" w:styleId="CommentReference">
    <w:name w:val="annotation reference"/>
    <w:basedOn w:val="DefaultParagraphFont"/>
    <w:uiPriority w:val="99"/>
    <w:semiHidden/>
    <w:unhideWhenUsed/>
    <w:rsid w:val="00EB2CB0"/>
    <w:rPr>
      <w:sz w:val="16"/>
      <w:szCs w:val="16"/>
    </w:rPr>
  </w:style>
  <w:style w:type="paragraph" w:styleId="CommentText">
    <w:name w:val="annotation text"/>
    <w:basedOn w:val="Normal"/>
    <w:link w:val="CommentTextChar"/>
    <w:uiPriority w:val="99"/>
    <w:semiHidden/>
    <w:unhideWhenUsed/>
    <w:rsid w:val="00EB2CB0"/>
    <w:rPr>
      <w:sz w:val="20"/>
      <w:szCs w:val="20"/>
    </w:rPr>
  </w:style>
  <w:style w:type="character" w:customStyle="1" w:styleId="CommentTextChar">
    <w:name w:val="Comment Text Char"/>
    <w:basedOn w:val="DefaultParagraphFont"/>
    <w:link w:val="CommentText"/>
    <w:uiPriority w:val="99"/>
    <w:semiHidden/>
    <w:rsid w:val="00EB2CB0"/>
  </w:style>
  <w:style w:type="paragraph" w:styleId="CommentSubject">
    <w:name w:val="annotation subject"/>
    <w:basedOn w:val="CommentText"/>
    <w:next w:val="CommentText"/>
    <w:link w:val="CommentSubjectChar"/>
    <w:uiPriority w:val="99"/>
    <w:semiHidden/>
    <w:unhideWhenUsed/>
    <w:rsid w:val="00EB2CB0"/>
    <w:rPr>
      <w:b/>
      <w:bCs/>
    </w:rPr>
  </w:style>
  <w:style w:type="character" w:customStyle="1" w:styleId="CommentSubjectChar">
    <w:name w:val="Comment Subject Char"/>
    <w:basedOn w:val="CommentTextChar"/>
    <w:link w:val="CommentSubject"/>
    <w:uiPriority w:val="99"/>
    <w:semiHidden/>
    <w:rsid w:val="00EB2CB0"/>
    <w:rPr>
      <w:b/>
      <w:bCs/>
    </w:rPr>
  </w:style>
  <w:style w:type="paragraph" w:customStyle="1" w:styleId="MTDisplayEquation">
    <w:name w:val="MTDisplayEquation"/>
    <w:basedOn w:val="Normal"/>
    <w:next w:val="Normal"/>
    <w:link w:val="MTDisplayEquationChar"/>
    <w:rsid w:val="0057686E"/>
    <w:pPr>
      <w:tabs>
        <w:tab w:val="center" w:pos="4320"/>
        <w:tab w:val="right" w:pos="8640"/>
      </w:tabs>
      <w:spacing w:line="480" w:lineRule="auto"/>
    </w:pPr>
  </w:style>
  <w:style w:type="character" w:customStyle="1" w:styleId="MTDisplayEquationChar">
    <w:name w:val="MTDisplayEquation Char"/>
    <w:basedOn w:val="DefaultParagraphFont"/>
    <w:link w:val="MTDisplayEquation"/>
    <w:rsid w:val="0057686E"/>
    <w:rPr>
      <w:sz w:val="24"/>
      <w:szCs w:val="24"/>
    </w:rPr>
  </w:style>
  <w:style w:type="paragraph" w:styleId="ListParagraph">
    <w:name w:val="List Paragraph"/>
    <w:basedOn w:val="Normal"/>
    <w:uiPriority w:val="34"/>
    <w:qFormat/>
    <w:rsid w:val="00CF1CED"/>
    <w:pPr>
      <w:ind w:left="720"/>
      <w:contextualSpacing/>
    </w:pPr>
  </w:style>
  <w:style w:type="character" w:customStyle="1" w:styleId="title-link-wrapper">
    <w:name w:val="title-link-wrapper"/>
    <w:basedOn w:val="DefaultParagraphFont"/>
    <w:rsid w:val="001D4452"/>
  </w:style>
  <w:style w:type="character" w:customStyle="1" w:styleId="hidden">
    <w:name w:val="hidden"/>
    <w:basedOn w:val="DefaultParagraphFont"/>
    <w:rsid w:val="001D4452"/>
  </w:style>
  <w:style w:type="character" w:styleId="HTMLCite">
    <w:name w:val="HTML Cite"/>
    <w:basedOn w:val="DefaultParagraphFont"/>
    <w:uiPriority w:val="99"/>
    <w:unhideWhenUsed/>
    <w:rsid w:val="000F007A"/>
    <w:rPr>
      <w:i/>
      <w:iCs/>
    </w:rPr>
  </w:style>
  <w:style w:type="character" w:customStyle="1" w:styleId="apple-converted-space">
    <w:name w:val="apple-converted-space"/>
    <w:basedOn w:val="DefaultParagraphFont"/>
    <w:rsid w:val="000F007A"/>
  </w:style>
  <w:style w:type="paragraph" w:styleId="HTMLPreformatted">
    <w:name w:val="HTML Preformatted"/>
    <w:basedOn w:val="Normal"/>
    <w:link w:val="HTMLPreformattedChar"/>
    <w:uiPriority w:val="99"/>
    <w:unhideWhenUsed/>
    <w:rsid w:val="002E1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E104A"/>
    <w:rPr>
      <w:rFonts w:ascii="Courier New" w:hAnsi="Courier New" w:cs="Courier New"/>
    </w:rPr>
  </w:style>
  <w:style w:type="paragraph" w:styleId="Header">
    <w:name w:val="header"/>
    <w:basedOn w:val="Normal"/>
    <w:link w:val="HeaderChar"/>
    <w:rsid w:val="00E36356"/>
    <w:pPr>
      <w:tabs>
        <w:tab w:val="center" w:pos="4680"/>
        <w:tab w:val="right" w:pos="9360"/>
      </w:tabs>
    </w:pPr>
  </w:style>
  <w:style w:type="character" w:customStyle="1" w:styleId="HeaderChar">
    <w:name w:val="Header Char"/>
    <w:basedOn w:val="DefaultParagraphFont"/>
    <w:link w:val="Header"/>
    <w:rsid w:val="00E36356"/>
    <w:rPr>
      <w:sz w:val="24"/>
      <w:szCs w:val="24"/>
    </w:rPr>
  </w:style>
  <w:style w:type="paragraph" w:styleId="Revision">
    <w:name w:val="Revision"/>
    <w:hidden/>
    <w:uiPriority w:val="99"/>
    <w:semiHidden/>
    <w:rsid w:val="00FF0012"/>
    <w:rPr>
      <w:sz w:val="24"/>
      <w:szCs w:val="24"/>
    </w:rPr>
  </w:style>
  <w:style w:type="character" w:customStyle="1" w:styleId="Heading2Char">
    <w:name w:val="Heading 2 Char"/>
    <w:basedOn w:val="DefaultParagraphFont"/>
    <w:link w:val="Heading2"/>
    <w:uiPriority w:val="9"/>
    <w:rsid w:val="00F75AD1"/>
    <w:rPr>
      <w:b/>
      <w:bCs/>
      <w:sz w:val="36"/>
      <w:szCs w:val="36"/>
    </w:rPr>
  </w:style>
  <w:style w:type="character" w:customStyle="1" w:styleId="pagetitle">
    <w:name w:val="pagetitle"/>
    <w:basedOn w:val="DefaultParagraphFont"/>
    <w:rsid w:val="004C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231">
      <w:bodyDiv w:val="1"/>
      <w:marLeft w:val="0"/>
      <w:marRight w:val="0"/>
      <w:marTop w:val="0"/>
      <w:marBottom w:val="0"/>
      <w:divBdr>
        <w:top w:val="none" w:sz="0" w:space="0" w:color="auto"/>
        <w:left w:val="none" w:sz="0" w:space="0" w:color="auto"/>
        <w:bottom w:val="none" w:sz="0" w:space="0" w:color="auto"/>
        <w:right w:val="none" w:sz="0" w:space="0" w:color="auto"/>
      </w:divBdr>
    </w:div>
    <w:div w:id="78797427">
      <w:bodyDiv w:val="1"/>
      <w:marLeft w:val="0"/>
      <w:marRight w:val="0"/>
      <w:marTop w:val="0"/>
      <w:marBottom w:val="0"/>
      <w:divBdr>
        <w:top w:val="none" w:sz="0" w:space="0" w:color="auto"/>
        <w:left w:val="none" w:sz="0" w:space="0" w:color="auto"/>
        <w:bottom w:val="none" w:sz="0" w:space="0" w:color="auto"/>
        <w:right w:val="none" w:sz="0" w:space="0" w:color="auto"/>
      </w:divBdr>
    </w:div>
    <w:div w:id="161821371">
      <w:bodyDiv w:val="1"/>
      <w:marLeft w:val="0"/>
      <w:marRight w:val="0"/>
      <w:marTop w:val="0"/>
      <w:marBottom w:val="0"/>
      <w:divBdr>
        <w:top w:val="none" w:sz="0" w:space="0" w:color="auto"/>
        <w:left w:val="none" w:sz="0" w:space="0" w:color="auto"/>
        <w:bottom w:val="none" w:sz="0" w:space="0" w:color="auto"/>
        <w:right w:val="none" w:sz="0" w:space="0" w:color="auto"/>
      </w:divBdr>
    </w:div>
    <w:div w:id="204946538">
      <w:bodyDiv w:val="1"/>
      <w:marLeft w:val="0"/>
      <w:marRight w:val="0"/>
      <w:marTop w:val="0"/>
      <w:marBottom w:val="0"/>
      <w:divBdr>
        <w:top w:val="none" w:sz="0" w:space="0" w:color="auto"/>
        <w:left w:val="none" w:sz="0" w:space="0" w:color="auto"/>
        <w:bottom w:val="none" w:sz="0" w:space="0" w:color="auto"/>
        <w:right w:val="none" w:sz="0" w:space="0" w:color="auto"/>
      </w:divBdr>
    </w:div>
    <w:div w:id="207186761">
      <w:bodyDiv w:val="1"/>
      <w:marLeft w:val="0"/>
      <w:marRight w:val="0"/>
      <w:marTop w:val="0"/>
      <w:marBottom w:val="0"/>
      <w:divBdr>
        <w:top w:val="none" w:sz="0" w:space="0" w:color="auto"/>
        <w:left w:val="none" w:sz="0" w:space="0" w:color="auto"/>
        <w:bottom w:val="none" w:sz="0" w:space="0" w:color="auto"/>
        <w:right w:val="none" w:sz="0" w:space="0" w:color="auto"/>
      </w:divBdr>
    </w:div>
    <w:div w:id="230653893">
      <w:bodyDiv w:val="1"/>
      <w:marLeft w:val="0"/>
      <w:marRight w:val="0"/>
      <w:marTop w:val="0"/>
      <w:marBottom w:val="0"/>
      <w:divBdr>
        <w:top w:val="none" w:sz="0" w:space="0" w:color="auto"/>
        <w:left w:val="none" w:sz="0" w:space="0" w:color="auto"/>
        <w:bottom w:val="none" w:sz="0" w:space="0" w:color="auto"/>
        <w:right w:val="none" w:sz="0" w:space="0" w:color="auto"/>
      </w:divBdr>
    </w:div>
    <w:div w:id="232546819">
      <w:bodyDiv w:val="1"/>
      <w:marLeft w:val="0"/>
      <w:marRight w:val="0"/>
      <w:marTop w:val="0"/>
      <w:marBottom w:val="0"/>
      <w:divBdr>
        <w:top w:val="none" w:sz="0" w:space="0" w:color="auto"/>
        <w:left w:val="none" w:sz="0" w:space="0" w:color="auto"/>
        <w:bottom w:val="none" w:sz="0" w:space="0" w:color="auto"/>
        <w:right w:val="none" w:sz="0" w:space="0" w:color="auto"/>
      </w:divBdr>
    </w:div>
    <w:div w:id="246619711">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466624925">
      <w:bodyDiv w:val="1"/>
      <w:marLeft w:val="0"/>
      <w:marRight w:val="0"/>
      <w:marTop w:val="0"/>
      <w:marBottom w:val="0"/>
      <w:divBdr>
        <w:top w:val="none" w:sz="0" w:space="0" w:color="auto"/>
        <w:left w:val="none" w:sz="0" w:space="0" w:color="auto"/>
        <w:bottom w:val="none" w:sz="0" w:space="0" w:color="auto"/>
        <w:right w:val="none" w:sz="0" w:space="0" w:color="auto"/>
      </w:divBdr>
    </w:div>
    <w:div w:id="486751032">
      <w:bodyDiv w:val="1"/>
      <w:marLeft w:val="0"/>
      <w:marRight w:val="0"/>
      <w:marTop w:val="0"/>
      <w:marBottom w:val="0"/>
      <w:divBdr>
        <w:top w:val="none" w:sz="0" w:space="0" w:color="auto"/>
        <w:left w:val="none" w:sz="0" w:space="0" w:color="auto"/>
        <w:bottom w:val="none" w:sz="0" w:space="0" w:color="auto"/>
        <w:right w:val="none" w:sz="0" w:space="0" w:color="auto"/>
      </w:divBdr>
    </w:div>
    <w:div w:id="519708628">
      <w:bodyDiv w:val="1"/>
      <w:marLeft w:val="0"/>
      <w:marRight w:val="0"/>
      <w:marTop w:val="0"/>
      <w:marBottom w:val="0"/>
      <w:divBdr>
        <w:top w:val="none" w:sz="0" w:space="0" w:color="auto"/>
        <w:left w:val="none" w:sz="0" w:space="0" w:color="auto"/>
        <w:bottom w:val="none" w:sz="0" w:space="0" w:color="auto"/>
        <w:right w:val="none" w:sz="0" w:space="0" w:color="auto"/>
      </w:divBdr>
    </w:div>
    <w:div w:id="616916205">
      <w:bodyDiv w:val="1"/>
      <w:marLeft w:val="0"/>
      <w:marRight w:val="0"/>
      <w:marTop w:val="0"/>
      <w:marBottom w:val="0"/>
      <w:divBdr>
        <w:top w:val="none" w:sz="0" w:space="0" w:color="auto"/>
        <w:left w:val="none" w:sz="0" w:space="0" w:color="auto"/>
        <w:bottom w:val="none" w:sz="0" w:space="0" w:color="auto"/>
        <w:right w:val="none" w:sz="0" w:space="0" w:color="auto"/>
      </w:divBdr>
    </w:div>
    <w:div w:id="684867917">
      <w:bodyDiv w:val="1"/>
      <w:marLeft w:val="0"/>
      <w:marRight w:val="0"/>
      <w:marTop w:val="0"/>
      <w:marBottom w:val="0"/>
      <w:divBdr>
        <w:top w:val="none" w:sz="0" w:space="0" w:color="auto"/>
        <w:left w:val="none" w:sz="0" w:space="0" w:color="auto"/>
        <w:bottom w:val="none" w:sz="0" w:space="0" w:color="auto"/>
        <w:right w:val="none" w:sz="0" w:space="0" w:color="auto"/>
      </w:divBdr>
    </w:div>
    <w:div w:id="692076152">
      <w:bodyDiv w:val="1"/>
      <w:marLeft w:val="0"/>
      <w:marRight w:val="0"/>
      <w:marTop w:val="0"/>
      <w:marBottom w:val="0"/>
      <w:divBdr>
        <w:top w:val="none" w:sz="0" w:space="0" w:color="auto"/>
        <w:left w:val="none" w:sz="0" w:space="0" w:color="auto"/>
        <w:bottom w:val="none" w:sz="0" w:space="0" w:color="auto"/>
        <w:right w:val="none" w:sz="0" w:space="0" w:color="auto"/>
      </w:divBdr>
    </w:div>
    <w:div w:id="762921502">
      <w:bodyDiv w:val="1"/>
      <w:marLeft w:val="0"/>
      <w:marRight w:val="0"/>
      <w:marTop w:val="0"/>
      <w:marBottom w:val="0"/>
      <w:divBdr>
        <w:top w:val="none" w:sz="0" w:space="0" w:color="auto"/>
        <w:left w:val="none" w:sz="0" w:space="0" w:color="auto"/>
        <w:bottom w:val="none" w:sz="0" w:space="0" w:color="auto"/>
        <w:right w:val="none" w:sz="0" w:space="0" w:color="auto"/>
      </w:divBdr>
    </w:div>
    <w:div w:id="774596527">
      <w:bodyDiv w:val="1"/>
      <w:marLeft w:val="0"/>
      <w:marRight w:val="0"/>
      <w:marTop w:val="0"/>
      <w:marBottom w:val="0"/>
      <w:divBdr>
        <w:top w:val="none" w:sz="0" w:space="0" w:color="auto"/>
        <w:left w:val="none" w:sz="0" w:space="0" w:color="auto"/>
        <w:bottom w:val="none" w:sz="0" w:space="0" w:color="auto"/>
        <w:right w:val="none" w:sz="0" w:space="0" w:color="auto"/>
      </w:divBdr>
    </w:div>
    <w:div w:id="951936525">
      <w:bodyDiv w:val="1"/>
      <w:marLeft w:val="0"/>
      <w:marRight w:val="0"/>
      <w:marTop w:val="0"/>
      <w:marBottom w:val="0"/>
      <w:divBdr>
        <w:top w:val="none" w:sz="0" w:space="0" w:color="auto"/>
        <w:left w:val="none" w:sz="0" w:space="0" w:color="auto"/>
        <w:bottom w:val="none" w:sz="0" w:space="0" w:color="auto"/>
        <w:right w:val="none" w:sz="0" w:space="0" w:color="auto"/>
      </w:divBdr>
    </w:div>
    <w:div w:id="953706833">
      <w:bodyDiv w:val="1"/>
      <w:marLeft w:val="0"/>
      <w:marRight w:val="0"/>
      <w:marTop w:val="0"/>
      <w:marBottom w:val="0"/>
      <w:divBdr>
        <w:top w:val="none" w:sz="0" w:space="0" w:color="auto"/>
        <w:left w:val="none" w:sz="0" w:space="0" w:color="auto"/>
        <w:bottom w:val="none" w:sz="0" w:space="0" w:color="auto"/>
        <w:right w:val="none" w:sz="0" w:space="0" w:color="auto"/>
      </w:divBdr>
    </w:div>
    <w:div w:id="1070931810">
      <w:bodyDiv w:val="1"/>
      <w:marLeft w:val="0"/>
      <w:marRight w:val="0"/>
      <w:marTop w:val="0"/>
      <w:marBottom w:val="0"/>
      <w:divBdr>
        <w:top w:val="none" w:sz="0" w:space="0" w:color="auto"/>
        <w:left w:val="none" w:sz="0" w:space="0" w:color="auto"/>
        <w:bottom w:val="none" w:sz="0" w:space="0" w:color="auto"/>
        <w:right w:val="none" w:sz="0" w:space="0" w:color="auto"/>
      </w:divBdr>
    </w:div>
    <w:div w:id="1081293629">
      <w:bodyDiv w:val="1"/>
      <w:marLeft w:val="0"/>
      <w:marRight w:val="0"/>
      <w:marTop w:val="0"/>
      <w:marBottom w:val="0"/>
      <w:divBdr>
        <w:top w:val="none" w:sz="0" w:space="0" w:color="auto"/>
        <w:left w:val="none" w:sz="0" w:space="0" w:color="auto"/>
        <w:bottom w:val="none" w:sz="0" w:space="0" w:color="auto"/>
        <w:right w:val="none" w:sz="0" w:space="0" w:color="auto"/>
      </w:divBdr>
    </w:div>
    <w:div w:id="1130899609">
      <w:bodyDiv w:val="1"/>
      <w:marLeft w:val="0"/>
      <w:marRight w:val="0"/>
      <w:marTop w:val="0"/>
      <w:marBottom w:val="0"/>
      <w:divBdr>
        <w:top w:val="none" w:sz="0" w:space="0" w:color="auto"/>
        <w:left w:val="none" w:sz="0" w:space="0" w:color="auto"/>
        <w:bottom w:val="none" w:sz="0" w:space="0" w:color="auto"/>
        <w:right w:val="none" w:sz="0" w:space="0" w:color="auto"/>
      </w:divBdr>
    </w:div>
    <w:div w:id="1182091653">
      <w:bodyDiv w:val="1"/>
      <w:marLeft w:val="0"/>
      <w:marRight w:val="0"/>
      <w:marTop w:val="0"/>
      <w:marBottom w:val="0"/>
      <w:divBdr>
        <w:top w:val="none" w:sz="0" w:space="0" w:color="auto"/>
        <w:left w:val="none" w:sz="0" w:space="0" w:color="auto"/>
        <w:bottom w:val="none" w:sz="0" w:space="0" w:color="auto"/>
        <w:right w:val="none" w:sz="0" w:space="0" w:color="auto"/>
      </w:divBdr>
    </w:div>
    <w:div w:id="1267078490">
      <w:bodyDiv w:val="1"/>
      <w:marLeft w:val="0"/>
      <w:marRight w:val="0"/>
      <w:marTop w:val="0"/>
      <w:marBottom w:val="0"/>
      <w:divBdr>
        <w:top w:val="none" w:sz="0" w:space="0" w:color="auto"/>
        <w:left w:val="none" w:sz="0" w:space="0" w:color="auto"/>
        <w:bottom w:val="none" w:sz="0" w:space="0" w:color="auto"/>
        <w:right w:val="none" w:sz="0" w:space="0" w:color="auto"/>
      </w:divBdr>
    </w:div>
    <w:div w:id="1327708473">
      <w:bodyDiv w:val="1"/>
      <w:marLeft w:val="0"/>
      <w:marRight w:val="0"/>
      <w:marTop w:val="0"/>
      <w:marBottom w:val="0"/>
      <w:divBdr>
        <w:top w:val="none" w:sz="0" w:space="0" w:color="auto"/>
        <w:left w:val="none" w:sz="0" w:space="0" w:color="auto"/>
        <w:bottom w:val="none" w:sz="0" w:space="0" w:color="auto"/>
        <w:right w:val="none" w:sz="0" w:space="0" w:color="auto"/>
      </w:divBdr>
    </w:div>
    <w:div w:id="1340767297">
      <w:bodyDiv w:val="1"/>
      <w:marLeft w:val="0"/>
      <w:marRight w:val="0"/>
      <w:marTop w:val="0"/>
      <w:marBottom w:val="0"/>
      <w:divBdr>
        <w:top w:val="none" w:sz="0" w:space="0" w:color="auto"/>
        <w:left w:val="none" w:sz="0" w:space="0" w:color="auto"/>
        <w:bottom w:val="none" w:sz="0" w:space="0" w:color="auto"/>
        <w:right w:val="none" w:sz="0" w:space="0" w:color="auto"/>
      </w:divBdr>
    </w:div>
    <w:div w:id="1462074630">
      <w:bodyDiv w:val="1"/>
      <w:marLeft w:val="0"/>
      <w:marRight w:val="0"/>
      <w:marTop w:val="0"/>
      <w:marBottom w:val="0"/>
      <w:divBdr>
        <w:top w:val="none" w:sz="0" w:space="0" w:color="auto"/>
        <w:left w:val="none" w:sz="0" w:space="0" w:color="auto"/>
        <w:bottom w:val="none" w:sz="0" w:space="0" w:color="auto"/>
        <w:right w:val="none" w:sz="0" w:space="0" w:color="auto"/>
      </w:divBdr>
    </w:div>
    <w:div w:id="1491796338">
      <w:bodyDiv w:val="1"/>
      <w:marLeft w:val="0"/>
      <w:marRight w:val="0"/>
      <w:marTop w:val="0"/>
      <w:marBottom w:val="0"/>
      <w:divBdr>
        <w:top w:val="none" w:sz="0" w:space="0" w:color="auto"/>
        <w:left w:val="none" w:sz="0" w:space="0" w:color="auto"/>
        <w:bottom w:val="none" w:sz="0" w:space="0" w:color="auto"/>
        <w:right w:val="none" w:sz="0" w:space="0" w:color="auto"/>
      </w:divBdr>
    </w:div>
    <w:div w:id="1605335000">
      <w:bodyDiv w:val="1"/>
      <w:marLeft w:val="0"/>
      <w:marRight w:val="0"/>
      <w:marTop w:val="0"/>
      <w:marBottom w:val="0"/>
      <w:divBdr>
        <w:top w:val="none" w:sz="0" w:space="0" w:color="auto"/>
        <w:left w:val="none" w:sz="0" w:space="0" w:color="auto"/>
        <w:bottom w:val="none" w:sz="0" w:space="0" w:color="auto"/>
        <w:right w:val="none" w:sz="0" w:space="0" w:color="auto"/>
      </w:divBdr>
    </w:div>
    <w:div w:id="1626816197">
      <w:bodyDiv w:val="1"/>
      <w:marLeft w:val="0"/>
      <w:marRight w:val="0"/>
      <w:marTop w:val="0"/>
      <w:marBottom w:val="0"/>
      <w:divBdr>
        <w:top w:val="none" w:sz="0" w:space="0" w:color="auto"/>
        <w:left w:val="none" w:sz="0" w:space="0" w:color="auto"/>
        <w:bottom w:val="none" w:sz="0" w:space="0" w:color="auto"/>
        <w:right w:val="none" w:sz="0" w:space="0" w:color="auto"/>
      </w:divBdr>
    </w:div>
    <w:div w:id="1676959510">
      <w:bodyDiv w:val="1"/>
      <w:marLeft w:val="0"/>
      <w:marRight w:val="0"/>
      <w:marTop w:val="0"/>
      <w:marBottom w:val="0"/>
      <w:divBdr>
        <w:top w:val="none" w:sz="0" w:space="0" w:color="auto"/>
        <w:left w:val="none" w:sz="0" w:space="0" w:color="auto"/>
        <w:bottom w:val="none" w:sz="0" w:space="0" w:color="auto"/>
        <w:right w:val="none" w:sz="0" w:space="0" w:color="auto"/>
      </w:divBdr>
    </w:div>
    <w:div w:id="1800025951">
      <w:bodyDiv w:val="1"/>
      <w:marLeft w:val="0"/>
      <w:marRight w:val="0"/>
      <w:marTop w:val="0"/>
      <w:marBottom w:val="0"/>
      <w:divBdr>
        <w:top w:val="none" w:sz="0" w:space="0" w:color="auto"/>
        <w:left w:val="none" w:sz="0" w:space="0" w:color="auto"/>
        <w:bottom w:val="none" w:sz="0" w:space="0" w:color="auto"/>
        <w:right w:val="none" w:sz="0" w:space="0" w:color="auto"/>
      </w:divBdr>
    </w:div>
    <w:div w:id="1801872728">
      <w:bodyDiv w:val="1"/>
      <w:marLeft w:val="0"/>
      <w:marRight w:val="0"/>
      <w:marTop w:val="0"/>
      <w:marBottom w:val="0"/>
      <w:divBdr>
        <w:top w:val="none" w:sz="0" w:space="0" w:color="auto"/>
        <w:left w:val="none" w:sz="0" w:space="0" w:color="auto"/>
        <w:bottom w:val="none" w:sz="0" w:space="0" w:color="auto"/>
        <w:right w:val="none" w:sz="0" w:space="0" w:color="auto"/>
      </w:divBdr>
    </w:div>
    <w:div w:id="1820150374">
      <w:bodyDiv w:val="1"/>
      <w:marLeft w:val="0"/>
      <w:marRight w:val="0"/>
      <w:marTop w:val="0"/>
      <w:marBottom w:val="0"/>
      <w:divBdr>
        <w:top w:val="none" w:sz="0" w:space="0" w:color="auto"/>
        <w:left w:val="none" w:sz="0" w:space="0" w:color="auto"/>
        <w:bottom w:val="none" w:sz="0" w:space="0" w:color="auto"/>
        <w:right w:val="none" w:sz="0" w:space="0" w:color="auto"/>
      </w:divBdr>
    </w:div>
    <w:div w:id="1852528746">
      <w:bodyDiv w:val="1"/>
      <w:marLeft w:val="0"/>
      <w:marRight w:val="0"/>
      <w:marTop w:val="0"/>
      <w:marBottom w:val="0"/>
      <w:divBdr>
        <w:top w:val="none" w:sz="0" w:space="0" w:color="auto"/>
        <w:left w:val="none" w:sz="0" w:space="0" w:color="auto"/>
        <w:bottom w:val="none" w:sz="0" w:space="0" w:color="auto"/>
        <w:right w:val="none" w:sz="0" w:space="0" w:color="auto"/>
      </w:divBdr>
    </w:div>
    <w:div w:id="1998803995">
      <w:bodyDiv w:val="1"/>
      <w:marLeft w:val="0"/>
      <w:marRight w:val="0"/>
      <w:marTop w:val="0"/>
      <w:marBottom w:val="0"/>
      <w:divBdr>
        <w:top w:val="none" w:sz="0" w:space="0" w:color="auto"/>
        <w:left w:val="none" w:sz="0" w:space="0" w:color="auto"/>
        <w:bottom w:val="none" w:sz="0" w:space="0" w:color="auto"/>
        <w:right w:val="none" w:sz="0" w:space="0" w:color="auto"/>
      </w:divBdr>
    </w:div>
    <w:div w:id="2044161480">
      <w:bodyDiv w:val="1"/>
      <w:marLeft w:val="0"/>
      <w:marRight w:val="0"/>
      <w:marTop w:val="0"/>
      <w:marBottom w:val="0"/>
      <w:divBdr>
        <w:top w:val="none" w:sz="0" w:space="0" w:color="auto"/>
        <w:left w:val="none" w:sz="0" w:space="0" w:color="auto"/>
        <w:bottom w:val="none" w:sz="0" w:space="0" w:color="auto"/>
        <w:right w:val="none" w:sz="0" w:space="0" w:color="auto"/>
      </w:divBdr>
    </w:div>
    <w:div w:id="2066371601">
      <w:bodyDiv w:val="1"/>
      <w:marLeft w:val="0"/>
      <w:marRight w:val="0"/>
      <w:marTop w:val="0"/>
      <w:marBottom w:val="0"/>
      <w:divBdr>
        <w:top w:val="none" w:sz="0" w:space="0" w:color="auto"/>
        <w:left w:val="none" w:sz="0" w:space="0" w:color="auto"/>
        <w:bottom w:val="none" w:sz="0" w:space="0" w:color="auto"/>
        <w:right w:val="none" w:sz="0" w:space="0" w:color="auto"/>
      </w:divBdr>
    </w:div>
    <w:div w:id="2067143245">
      <w:bodyDiv w:val="1"/>
      <w:marLeft w:val="0"/>
      <w:marRight w:val="0"/>
      <w:marTop w:val="0"/>
      <w:marBottom w:val="0"/>
      <w:divBdr>
        <w:top w:val="none" w:sz="0" w:space="0" w:color="auto"/>
        <w:left w:val="none" w:sz="0" w:space="0" w:color="auto"/>
        <w:bottom w:val="none" w:sz="0" w:space="0" w:color="auto"/>
        <w:right w:val="none" w:sz="0" w:space="0" w:color="auto"/>
      </w:divBdr>
    </w:div>
    <w:div w:id="20763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DC23-048A-44B6-A8D2-398BA954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11135</Words>
  <Characters>60358</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Are state premium taxes influential in attracting insurance firms to the state</vt:lpstr>
    </vt:vector>
  </TitlesOfParts>
  <Company>gsu</Company>
  <LinksUpToDate>false</LinksUpToDate>
  <CharactersWithSpaces>71351</CharactersWithSpaces>
  <SharedDoc>false</SharedDoc>
  <HLinks>
    <vt:vector size="6" baseType="variant">
      <vt:variant>
        <vt:i4>8126511</vt:i4>
      </vt:variant>
      <vt:variant>
        <vt:i4>69</vt:i4>
      </vt:variant>
      <vt:variant>
        <vt:i4>0</vt:i4>
      </vt:variant>
      <vt:variant>
        <vt:i4>5</vt:i4>
      </vt:variant>
      <vt:variant>
        <vt:lpwstr>http://ssrn.com/abstract=891226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state premium taxes influential in attracting insurance firms to the state</dc:title>
  <dc:creator>aysps</dc:creator>
  <cp:lastModifiedBy>sjoquist</cp:lastModifiedBy>
  <cp:revision>2</cp:revision>
  <cp:lastPrinted>2013-02-18T14:03:00Z</cp:lastPrinted>
  <dcterms:created xsi:type="dcterms:W3CDTF">2013-10-11T16:11:00Z</dcterms:created>
  <dcterms:modified xsi:type="dcterms:W3CDTF">2013-10-11T16:11:00Z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