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87" w:rsidRPr="00516887" w:rsidRDefault="00604D62" w:rsidP="00516887">
      <w:pPr>
        <w:spacing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August</w:t>
      </w:r>
      <w:r w:rsidR="002F53E6">
        <w:rPr>
          <w:rFonts w:ascii="Times New Roman" w:hAnsi="Times New Roman" w:cs="Times New Roman"/>
          <w:sz w:val="24"/>
          <w:szCs w:val="24"/>
        </w:rPr>
        <w:t xml:space="preserve"> 2013</w:t>
      </w:r>
    </w:p>
    <w:p w:rsidR="00516887" w:rsidRDefault="00516887" w:rsidP="00D6465D">
      <w:pPr>
        <w:spacing w:line="240" w:lineRule="auto"/>
        <w:jc w:val="center"/>
        <w:rPr>
          <w:rFonts w:ascii="Times New Roman" w:hAnsi="Times New Roman" w:cs="Times New Roman"/>
          <w:b/>
          <w:smallCaps/>
          <w:sz w:val="28"/>
          <w:szCs w:val="28"/>
        </w:rPr>
      </w:pPr>
    </w:p>
    <w:p w:rsidR="00516887" w:rsidRDefault="00516887" w:rsidP="00D6465D">
      <w:pPr>
        <w:spacing w:line="240" w:lineRule="auto"/>
        <w:jc w:val="center"/>
        <w:rPr>
          <w:rFonts w:ascii="Times New Roman" w:hAnsi="Times New Roman" w:cs="Times New Roman"/>
          <w:b/>
          <w:smallCaps/>
          <w:sz w:val="28"/>
          <w:szCs w:val="28"/>
        </w:rPr>
      </w:pPr>
    </w:p>
    <w:p w:rsidR="00D6465D" w:rsidRPr="008142CF" w:rsidRDefault="00D6465D" w:rsidP="00D6465D">
      <w:pPr>
        <w:spacing w:line="240" w:lineRule="auto"/>
        <w:jc w:val="center"/>
        <w:rPr>
          <w:rFonts w:ascii="Times New Roman" w:hAnsi="Times New Roman" w:cs="Times New Roman"/>
          <w:b/>
          <w:smallCaps/>
        </w:rPr>
      </w:pPr>
      <w:r>
        <w:rPr>
          <w:rFonts w:ascii="Times New Roman" w:hAnsi="Times New Roman" w:cs="Times New Roman"/>
          <w:b/>
          <w:smallCaps/>
          <w:sz w:val="28"/>
          <w:szCs w:val="28"/>
        </w:rPr>
        <w:t xml:space="preserve">Foreclosures and </w:t>
      </w:r>
      <w:r w:rsidRPr="002B3F5D">
        <w:rPr>
          <w:rFonts w:ascii="Times New Roman" w:hAnsi="Times New Roman" w:cs="Times New Roman"/>
          <w:b/>
          <w:smallCaps/>
          <w:sz w:val="28"/>
          <w:szCs w:val="28"/>
        </w:rPr>
        <w:t>Local Government Re</w:t>
      </w:r>
      <w:r>
        <w:rPr>
          <w:rFonts w:ascii="Times New Roman" w:hAnsi="Times New Roman" w:cs="Times New Roman"/>
          <w:b/>
          <w:smallCaps/>
          <w:sz w:val="28"/>
          <w:szCs w:val="28"/>
        </w:rPr>
        <w:t xml:space="preserve">venues from </w:t>
      </w:r>
      <w:r w:rsidRPr="002B3F5D">
        <w:rPr>
          <w:rFonts w:ascii="Times New Roman" w:hAnsi="Times New Roman" w:cs="Times New Roman"/>
          <w:b/>
          <w:smallCaps/>
          <w:sz w:val="28"/>
          <w:szCs w:val="28"/>
        </w:rPr>
        <w:t>the Property Tax</w:t>
      </w:r>
      <w:r w:rsidR="00197294">
        <w:rPr>
          <w:rFonts w:ascii="Times New Roman" w:hAnsi="Times New Roman" w:cs="Times New Roman"/>
          <w:b/>
          <w:smallCaps/>
          <w:sz w:val="28"/>
          <w:szCs w:val="28"/>
        </w:rPr>
        <w:t>: The Case of Georgia School Districts</w:t>
      </w:r>
    </w:p>
    <w:p w:rsidR="00516887" w:rsidRPr="0070486A" w:rsidRDefault="00516887" w:rsidP="00516887">
      <w:pPr>
        <w:spacing w:after="0" w:line="240" w:lineRule="auto"/>
        <w:jc w:val="center"/>
        <w:rPr>
          <w:rFonts w:ascii="Times New Roman" w:hAnsi="Times New Roman" w:cs="Times New Roman"/>
          <w:sz w:val="24"/>
          <w:szCs w:val="24"/>
        </w:rPr>
      </w:pPr>
      <w:r w:rsidRPr="0070486A">
        <w:rPr>
          <w:rFonts w:ascii="Times New Roman" w:hAnsi="Times New Roman" w:cs="Times New Roman"/>
          <w:sz w:val="24"/>
          <w:szCs w:val="24"/>
        </w:rPr>
        <w:t>James Alm*</w:t>
      </w:r>
    </w:p>
    <w:p w:rsidR="00516887" w:rsidRPr="0070486A" w:rsidRDefault="00516887" w:rsidP="00516887">
      <w:pPr>
        <w:spacing w:after="0" w:line="240" w:lineRule="auto"/>
        <w:jc w:val="center"/>
        <w:rPr>
          <w:rFonts w:ascii="Times New Roman" w:hAnsi="Times New Roman" w:cs="Times New Roman"/>
          <w:sz w:val="24"/>
          <w:szCs w:val="24"/>
        </w:rPr>
      </w:pPr>
      <w:r w:rsidRPr="0070486A">
        <w:rPr>
          <w:rFonts w:ascii="Times New Roman" w:hAnsi="Times New Roman" w:cs="Times New Roman"/>
          <w:sz w:val="24"/>
          <w:szCs w:val="24"/>
        </w:rPr>
        <w:t>Tulane University</w:t>
      </w:r>
    </w:p>
    <w:p w:rsidR="00516887" w:rsidRPr="0070486A" w:rsidRDefault="00516887" w:rsidP="00516887">
      <w:pPr>
        <w:spacing w:after="0" w:line="240" w:lineRule="auto"/>
        <w:jc w:val="center"/>
        <w:rPr>
          <w:rFonts w:ascii="Times New Roman" w:hAnsi="Times New Roman" w:cs="Times New Roman"/>
          <w:sz w:val="24"/>
          <w:szCs w:val="24"/>
        </w:rPr>
      </w:pPr>
    </w:p>
    <w:p w:rsidR="00516887" w:rsidRPr="0070486A" w:rsidRDefault="00516887" w:rsidP="00516887">
      <w:pPr>
        <w:spacing w:after="0" w:line="240" w:lineRule="auto"/>
        <w:jc w:val="center"/>
        <w:rPr>
          <w:rFonts w:ascii="Times New Roman" w:hAnsi="Times New Roman" w:cs="Times New Roman"/>
          <w:sz w:val="24"/>
          <w:szCs w:val="24"/>
        </w:rPr>
      </w:pPr>
      <w:r w:rsidRPr="0070486A">
        <w:rPr>
          <w:rFonts w:ascii="Times New Roman" w:hAnsi="Times New Roman" w:cs="Times New Roman"/>
          <w:sz w:val="24"/>
          <w:szCs w:val="24"/>
        </w:rPr>
        <w:t>Robert D. Buschman</w:t>
      </w:r>
    </w:p>
    <w:p w:rsidR="00516887" w:rsidRPr="0070486A" w:rsidRDefault="00516887" w:rsidP="00516887">
      <w:pPr>
        <w:spacing w:after="0" w:line="240" w:lineRule="auto"/>
        <w:jc w:val="center"/>
        <w:rPr>
          <w:rFonts w:ascii="Times New Roman" w:hAnsi="Times New Roman" w:cs="Times New Roman"/>
          <w:sz w:val="24"/>
          <w:szCs w:val="24"/>
        </w:rPr>
      </w:pPr>
      <w:r w:rsidRPr="0070486A">
        <w:rPr>
          <w:rFonts w:ascii="Times New Roman" w:hAnsi="Times New Roman" w:cs="Times New Roman"/>
          <w:sz w:val="24"/>
          <w:szCs w:val="24"/>
        </w:rPr>
        <w:t>Georgia State University</w:t>
      </w:r>
    </w:p>
    <w:p w:rsidR="00516887" w:rsidRPr="0070486A" w:rsidRDefault="00516887" w:rsidP="00516887">
      <w:pPr>
        <w:spacing w:after="0" w:line="240" w:lineRule="auto"/>
        <w:jc w:val="center"/>
        <w:rPr>
          <w:rFonts w:ascii="Times New Roman" w:hAnsi="Times New Roman" w:cs="Times New Roman"/>
          <w:sz w:val="24"/>
          <w:szCs w:val="24"/>
        </w:rPr>
      </w:pPr>
    </w:p>
    <w:p w:rsidR="00516887" w:rsidRPr="0070486A" w:rsidRDefault="00516887" w:rsidP="00516887">
      <w:pPr>
        <w:spacing w:after="0" w:line="240" w:lineRule="auto"/>
        <w:jc w:val="center"/>
        <w:rPr>
          <w:rFonts w:ascii="Times New Roman" w:hAnsi="Times New Roman" w:cs="Times New Roman"/>
          <w:sz w:val="24"/>
          <w:szCs w:val="24"/>
        </w:rPr>
      </w:pPr>
      <w:r w:rsidRPr="0070486A">
        <w:rPr>
          <w:rFonts w:ascii="Times New Roman" w:hAnsi="Times New Roman" w:cs="Times New Roman"/>
          <w:sz w:val="24"/>
          <w:szCs w:val="24"/>
        </w:rPr>
        <w:t>David L. Sjoquist</w:t>
      </w:r>
    </w:p>
    <w:p w:rsidR="00516887" w:rsidRPr="0070486A" w:rsidRDefault="00516887" w:rsidP="00516887">
      <w:pPr>
        <w:spacing w:after="0" w:line="240" w:lineRule="auto"/>
        <w:jc w:val="center"/>
        <w:rPr>
          <w:rFonts w:ascii="Times New Roman" w:hAnsi="Times New Roman" w:cs="Times New Roman"/>
          <w:sz w:val="24"/>
          <w:szCs w:val="24"/>
        </w:rPr>
      </w:pPr>
      <w:r w:rsidRPr="0070486A">
        <w:rPr>
          <w:rFonts w:ascii="Times New Roman" w:hAnsi="Times New Roman" w:cs="Times New Roman"/>
          <w:sz w:val="24"/>
          <w:szCs w:val="24"/>
        </w:rPr>
        <w:t>Georgia State University</w:t>
      </w:r>
    </w:p>
    <w:p w:rsidR="00516887" w:rsidRPr="0070486A" w:rsidRDefault="00516887" w:rsidP="00516887">
      <w:pPr>
        <w:autoSpaceDE w:val="0"/>
        <w:autoSpaceDN w:val="0"/>
        <w:adjustRightInd w:val="0"/>
        <w:spacing w:after="0" w:line="240" w:lineRule="auto"/>
        <w:jc w:val="center"/>
        <w:rPr>
          <w:rFonts w:ascii="Times New Roman" w:hAnsi="Times New Roman" w:cs="Times New Roman"/>
          <w:sz w:val="24"/>
          <w:szCs w:val="24"/>
        </w:rPr>
      </w:pPr>
    </w:p>
    <w:p w:rsidR="00516887" w:rsidRPr="0070486A" w:rsidRDefault="00516887" w:rsidP="00516887">
      <w:pPr>
        <w:autoSpaceDE w:val="0"/>
        <w:autoSpaceDN w:val="0"/>
        <w:adjustRightInd w:val="0"/>
        <w:spacing w:after="0" w:line="240" w:lineRule="auto"/>
        <w:jc w:val="center"/>
        <w:rPr>
          <w:rFonts w:ascii="Times New Roman" w:hAnsi="Times New Roman" w:cs="Times New Roman"/>
          <w:b/>
          <w:sz w:val="24"/>
          <w:szCs w:val="24"/>
          <w:u w:val="single"/>
        </w:rPr>
      </w:pPr>
    </w:p>
    <w:p w:rsidR="00197294" w:rsidRPr="0070486A" w:rsidRDefault="00516887" w:rsidP="00197294">
      <w:pPr>
        <w:autoSpaceDE w:val="0"/>
        <w:autoSpaceDN w:val="0"/>
        <w:adjustRightInd w:val="0"/>
        <w:spacing w:after="0" w:line="240" w:lineRule="auto"/>
        <w:rPr>
          <w:rFonts w:ascii="Times New Roman Bold" w:hAnsi="Times New Roman Bold" w:cs="Times New Roman"/>
          <w:b/>
          <w:smallCaps/>
          <w:sz w:val="24"/>
          <w:szCs w:val="24"/>
          <w:u w:val="single"/>
        </w:rPr>
      </w:pPr>
      <w:r w:rsidRPr="0070486A">
        <w:rPr>
          <w:rFonts w:ascii="Times New Roman Bold" w:hAnsi="Times New Roman Bold" w:cs="Times New Roman"/>
          <w:b/>
          <w:smallCaps/>
          <w:sz w:val="24"/>
          <w:szCs w:val="24"/>
          <w:u w:val="single"/>
        </w:rPr>
        <w:t>Abstract</w:t>
      </w:r>
    </w:p>
    <w:p w:rsidR="00197294" w:rsidRPr="0070486A" w:rsidRDefault="00197294" w:rsidP="00197294">
      <w:pPr>
        <w:autoSpaceDE w:val="0"/>
        <w:autoSpaceDN w:val="0"/>
        <w:adjustRightInd w:val="0"/>
        <w:spacing w:after="0" w:line="240" w:lineRule="auto"/>
        <w:rPr>
          <w:rFonts w:ascii="Times New Roman" w:hAnsi="Times New Roman" w:cs="Times New Roman"/>
          <w:sz w:val="24"/>
          <w:szCs w:val="24"/>
        </w:rPr>
      </w:pPr>
      <w:r w:rsidRPr="0070486A">
        <w:rPr>
          <w:rFonts w:ascii="Times New Roman" w:hAnsi="Times New Roman" w:cs="Times New Roman"/>
          <w:sz w:val="24"/>
          <w:szCs w:val="24"/>
        </w:rPr>
        <w:t>Historically, local governments in the United States have relied on the property tax as one of their main sources of own-source revenues.  With the recent collapse of housing prices and the resulting increase in foreclosures, many observers have speculated that the local</w:t>
      </w:r>
      <w:r w:rsidRPr="006D3591">
        <w:rPr>
          <w:rFonts w:ascii="Times New Roman" w:hAnsi="Times New Roman" w:cs="Times New Roman"/>
          <w:sz w:val="24"/>
          <w:szCs w:val="24"/>
        </w:rPr>
        <w:t xml:space="preserve"> governments will suffer significant revenue losses, either immediately or in the near future.  However, </w:t>
      </w:r>
      <w:r w:rsidR="00136A52">
        <w:rPr>
          <w:rFonts w:ascii="Times New Roman" w:hAnsi="Times New Roman" w:cs="Times New Roman"/>
          <w:sz w:val="24"/>
          <w:szCs w:val="24"/>
        </w:rPr>
        <w:t>t</w:t>
      </w:r>
      <w:r w:rsidRPr="006D3591">
        <w:rPr>
          <w:rFonts w:ascii="Times New Roman" w:hAnsi="Times New Roman" w:cs="Times New Roman"/>
          <w:sz w:val="24"/>
          <w:szCs w:val="24"/>
        </w:rPr>
        <w:t>o our knowledge there is no existing work that examines the impacts of foreclosures on property values and the subsequent impacts on property tax revenues.</w:t>
      </w:r>
      <w:r>
        <w:rPr>
          <w:rFonts w:ascii="Times New Roman" w:hAnsi="Times New Roman" w:cs="Times New Roman"/>
          <w:sz w:val="24"/>
          <w:szCs w:val="24"/>
        </w:rPr>
        <w:t xml:space="preserve">  We use recently availab</w:t>
      </w:r>
      <w:r w:rsidRPr="006D3591">
        <w:rPr>
          <w:rFonts w:ascii="Times New Roman" w:hAnsi="Times New Roman" w:cs="Times New Roman"/>
          <w:sz w:val="24"/>
          <w:szCs w:val="24"/>
        </w:rPr>
        <w:t>l</w:t>
      </w:r>
      <w:r>
        <w:rPr>
          <w:rFonts w:ascii="Times New Roman" w:hAnsi="Times New Roman" w:cs="Times New Roman"/>
          <w:sz w:val="24"/>
          <w:szCs w:val="24"/>
        </w:rPr>
        <w:t>e</w:t>
      </w:r>
      <w:r w:rsidRPr="006D3591">
        <w:rPr>
          <w:rFonts w:ascii="Times New Roman" w:hAnsi="Times New Roman" w:cs="Times New Roman"/>
          <w:sz w:val="24"/>
          <w:szCs w:val="24"/>
        </w:rPr>
        <w:t xml:space="preserve"> </w:t>
      </w:r>
      <w:r w:rsidR="00B114F8">
        <w:rPr>
          <w:rFonts w:ascii="Times New Roman" w:hAnsi="Times New Roman" w:cs="Times New Roman"/>
          <w:sz w:val="24"/>
          <w:szCs w:val="24"/>
        </w:rPr>
        <w:t xml:space="preserve">proprietary </w:t>
      </w:r>
      <w:r>
        <w:rPr>
          <w:rFonts w:ascii="Times New Roman" w:hAnsi="Times New Roman" w:cs="Times New Roman"/>
          <w:sz w:val="24"/>
          <w:szCs w:val="24"/>
        </w:rPr>
        <w:t xml:space="preserve">information from RealtyTrac on </w:t>
      </w:r>
      <w:r w:rsidRPr="006D3591">
        <w:rPr>
          <w:rFonts w:ascii="Times New Roman" w:hAnsi="Times New Roman" w:cs="Times New Roman"/>
          <w:sz w:val="24"/>
          <w:szCs w:val="24"/>
        </w:rPr>
        <w:t xml:space="preserve">annual </w:t>
      </w:r>
      <w:r w:rsidR="00A03926">
        <w:rPr>
          <w:rFonts w:ascii="Times New Roman" w:hAnsi="Times New Roman" w:cs="Times New Roman"/>
          <w:sz w:val="24"/>
          <w:szCs w:val="24"/>
        </w:rPr>
        <w:t xml:space="preserve">foreclosure “activity” </w:t>
      </w:r>
      <w:r w:rsidR="00B114F8">
        <w:rPr>
          <w:rFonts w:ascii="Times New Roman" w:hAnsi="Times New Roman" w:cs="Times New Roman"/>
          <w:sz w:val="24"/>
          <w:szCs w:val="24"/>
        </w:rPr>
        <w:t xml:space="preserve">(e.g., </w:t>
      </w:r>
      <w:r>
        <w:rPr>
          <w:rFonts w:ascii="Times New Roman" w:hAnsi="Times New Roman" w:cs="Times New Roman"/>
          <w:sz w:val="24"/>
          <w:szCs w:val="24"/>
        </w:rPr>
        <w:t xml:space="preserve">the </w:t>
      </w:r>
      <w:r w:rsidRPr="006D3591">
        <w:rPr>
          <w:rFonts w:ascii="Times New Roman" w:hAnsi="Times New Roman" w:cs="Times New Roman"/>
          <w:sz w:val="24"/>
          <w:szCs w:val="24"/>
        </w:rPr>
        <w:t>flow of newly foreclosed prop</w:t>
      </w:r>
      <w:r>
        <w:rPr>
          <w:rFonts w:ascii="Times New Roman" w:hAnsi="Times New Roman" w:cs="Times New Roman"/>
          <w:sz w:val="24"/>
          <w:szCs w:val="24"/>
        </w:rPr>
        <w:t>erties into foreclosure filings</w:t>
      </w:r>
      <w:r w:rsidR="00B114F8">
        <w:rPr>
          <w:rFonts w:ascii="Times New Roman" w:hAnsi="Times New Roman" w:cs="Times New Roman"/>
          <w:sz w:val="24"/>
          <w:szCs w:val="24"/>
        </w:rPr>
        <w:t>)</w:t>
      </w:r>
      <w:r>
        <w:rPr>
          <w:rFonts w:ascii="Times New Roman" w:hAnsi="Times New Roman" w:cs="Times New Roman"/>
          <w:sz w:val="24"/>
          <w:szCs w:val="24"/>
        </w:rPr>
        <w:t>, f</w:t>
      </w:r>
      <w:r w:rsidR="00CB0721">
        <w:rPr>
          <w:rFonts w:ascii="Times New Roman" w:hAnsi="Times New Roman" w:cs="Times New Roman"/>
          <w:sz w:val="24"/>
          <w:szCs w:val="24"/>
        </w:rPr>
        <w:t>or the period 2006 through 2011</w:t>
      </w:r>
      <w:r w:rsidR="00136A52">
        <w:rPr>
          <w:rFonts w:ascii="Times New Roman" w:hAnsi="Times New Roman" w:cs="Times New Roman"/>
          <w:sz w:val="24"/>
          <w:szCs w:val="24"/>
        </w:rPr>
        <w:t xml:space="preserve">, </w:t>
      </w:r>
      <w:r w:rsidRPr="006D3591">
        <w:rPr>
          <w:rFonts w:ascii="Times New Roman" w:hAnsi="Times New Roman" w:cs="Times New Roman"/>
          <w:sz w:val="24"/>
          <w:szCs w:val="24"/>
        </w:rPr>
        <w:t>merged with information on local government revenues and economic data</w:t>
      </w:r>
      <w:r w:rsidR="007D455D">
        <w:rPr>
          <w:rFonts w:ascii="Times New Roman" w:hAnsi="Times New Roman" w:cs="Times New Roman"/>
          <w:sz w:val="24"/>
          <w:szCs w:val="24"/>
        </w:rPr>
        <w:t>,</w:t>
      </w:r>
      <w:r w:rsidRPr="006D3591">
        <w:rPr>
          <w:rFonts w:ascii="Times New Roman" w:hAnsi="Times New Roman" w:cs="Times New Roman"/>
          <w:sz w:val="24"/>
          <w:szCs w:val="24"/>
        </w:rPr>
        <w:t xml:space="preserve"> to estimate the impacts of foreclosures on local government property tax revenues</w:t>
      </w:r>
      <w:r w:rsidR="009F156E">
        <w:rPr>
          <w:rFonts w:ascii="Times New Roman" w:hAnsi="Times New Roman" w:cs="Times New Roman"/>
          <w:sz w:val="24"/>
          <w:szCs w:val="24"/>
        </w:rPr>
        <w:t>, as well as on market values and property tax levies</w:t>
      </w:r>
      <w:r w:rsidRPr="006D3591">
        <w:rPr>
          <w:rFonts w:ascii="Times New Roman" w:hAnsi="Times New Roman" w:cs="Times New Roman"/>
          <w:sz w:val="24"/>
          <w:szCs w:val="24"/>
        </w:rPr>
        <w:t>.</w:t>
      </w:r>
      <w:r>
        <w:rPr>
          <w:rFonts w:ascii="Times New Roman" w:hAnsi="Times New Roman" w:cs="Times New Roman"/>
          <w:sz w:val="24"/>
          <w:szCs w:val="24"/>
        </w:rPr>
        <w:t xml:space="preserve">  </w:t>
      </w:r>
      <w:r w:rsidRPr="0070486A">
        <w:rPr>
          <w:rFonts w:ascii="Times New Roman" w:hAnsi="Times New Roman" w:cs="Times New Roman"/>
          <w:sz w:val="24"/>
          <w:szCs w:val="24"/>
        </w:rPr>
        <w:t xml:space="preserve">We focus on school districts in the State of Georgia, and </w:t>
      </w:r>
      <w:r w:rsidR="00136A52">
        <w:rPr>
          <w:rFonts w:ascii="Times New Roman" w:hAnsi="Times New Roman" w:cs="Times New Roman"/>
          <w:sz w:val="24"/>
          <w:szCs w:val="24"/>
        </w:rPr>
        <w:t>address</w:t>
      </w:r>
      <w:r w:rsidRPr="0070486A">
        <w:rPr>
          <w:rFonts w:ascii="Times New Roman" w:hAnsi="Times New Roman" w:cs="Times New Roman"/>
          <w:sz w:val="24"/>
          <w:szCs w:val="24"/>
        </w:rPr>
        <w:t xml:space="preserve"> the question: How have recent foreclosures affected the property tax </w:t>
      </w:r>
      <w:r w:rsidR="009F4637">
        <w:rPr>
          <w:rFonts w:ascii="Times New Roman" w:hAnsi="Times New Roman" w:cs="Times New Roman"/>
          <w:sz w:val="24"/>
          <w:szCs w:val="24"/>
        </w:rPr>
        <w:t>system</w:t>
      </w:r>
      <w:r w:rsidRPr="0070486A">
        <w:rPr>
          <w:rFonts w:ascii="Times New Roman" w:hAnsi="Times New Roman" w:cs="Times New Roman"/>
          <w:sz w:val="24"/>
          <w:szCs w:val="24"/>
        </w:rPr>
        <w:t xml:space="preserve"> of local governments?</w:t>
      </w:r>
      <w:r w:rsidR="00A21825">
        <w:rPr>
          <w:rFonts w:ascii="Times New Roman" w:hAnsi="Times New Roman" w:cs="Times New Roman"/>
          <w:sz w:val="24"/>
          <w:szCs w:val="24"/>
        </w:rPr>
        <w:t xml:space="preserve"> Across various specifications, we find that foreclosure activity had significant impacts on </w:t>
      </w:r>
      <w:r w:rsidR="00136A52">
        <w:rPr>
          <w:rFonts w:ascii="Times New Roman" w:hAnsi="Times New Roman" w:cs="Times New Roman"/>
          <w:sz w:val="24"/>
          <w:szCs w:val="24"/>
        </w:rPr>
        <w:t>property tax bases</w:t>
      </w:r>
      <w:r w:rsidR="00865F57">
        <w:rPr>
          <w:rFonts w:ascii="Times New Roman" w:hAnsi="Times New Roman" w:cs="Times New Roman"/>
          <w:sz w:val="24"/>
          <w:szCs w:val="24"/>
        </w:rPr>
        <w:t xml:space="preserve">, </w:t>
      </w:r>
      <w:r w:rsidR="00136A52">
        <w:rPr>
          <w:rFonts w:ascii="Times New Roman" w:hAnsi="Times New Roman" w:cs="Times New Roman"/>
          <w:sz w:val="24"/>
          <w:szCs w:val="24"/>
        </w:rPr>
        <w:t>levies</w:t>
      </w:r>
      <w:r w:rsidR="00865F57">
        <w:rPr>
          <w:rFonts w:ascii="Times New Roman" w:hAnsi="Times New Roman" w:cs="Times New Roman"/>
          <w:sz w:val="24"/>
          <w:szCs w:val="24"/>
        </w:rPr>
        <w:t>, and revenues.</w:t>
      </w:r>
    </w:p>
    <w:p w:rsidR="00197294" w:rsidRPr="0070486A" w:rsidRDefault="00197294" w:rsidP="00197294">
      <w:pPr>
        <w:autoSpaceDE w:val="0"/>
        <w:autoSpaceDN w:val="0"/>
        <w:adjustRightInd w:val="0"/>
        <w:spacing w:after="0" w:line="240" w:lineRule="auto"/>
        <w:rPr>
          <w:rFonts w:ascii="Times New Roman" w:hAnsi="Times New Roman" w:cs="Times New Roman"/>
          <w:sz w:val="24"/>
          <w:szCs w:val="24"/>
        </w:rPr>
      </w:pPr>
    </w:p>
    <w:p w:rsidR="00516887" w:rsidRPr="0070486A" w:rsidRDefault="00516887" w:rsidP="00516887">
      <w:pPr>
        <w:spacing w:after="0" w:line="240" w:lineRule="auto"/>
        <w:rPr>
          <w:rFonts w:ascii="Times New Roman" w:hAnsi="Times New Roman" w:cs="Times New Roman"/>
          <w:sz w:val="24"/>
          <w:szCs w:val="24"/>
        </w:rPr>
      </w:pPr>
      <w:r w:rsidRPr="0070486A">
        <w:rPr>
          <w:rFonts w:ascii="Times New Roman Bold" w:hAnsi="Times New Roman Bold" w:cs="Times New Roman"/>
          <w:b/>
          <w:smallCaps/>
          <w:sz w:val="24"/>
          <w:szCs w:val="24"/>
          <w:u w:val="single"/>
        </w:rPr>
        <w:t>JEL Classifications:</w:t>
      </w:r>
      <w:r w:rsidRPr="0070486A">
        <w:rPr>
          <w:rFonts w:ascii="Times New Roman" w:hAnsi="Times New Roman" w:cs="Times New Roman"/>
          <w:sz w:val="24"/>
          <w:szCs w:val="24"/>
        </w:rPr>
        <w:t xml:space="preserve"> H2, H7, R3, R5.</w:t>
      </w:r>
    </w:p>
    <w:p w:rsidR="00516887" w:rsidRPr="0070486A" w:rsidRDefault="00516887" w:rsidP="00516887">
      <w:pPr>
        <w:spacing w:after="0" w:line="240" w:lineRule="auto"/>
        <w:rPr>
          <w:rFonts w:ascii="Times New Roman" w:hAnsi="Times New Roman" w:cs="Times New Roman"/>
          <w:b/>
          <w:sz w:val="24"/>
          <w:szCs w:val="24"/>
          <w:u w:val="single"/>
        </w:rPr>
      </w:pPr>
    </w:p>
    <w:p w:rsidR="00516887" w:rsidRPr="0070486A" w:rsidRDefault="00516887" w:rsidP="00516887">
      <w:pPr>
        <w:spacing w:after="0" w:line="240" w:lineRule="auto"/>
        <w:rPr>
          <w:rFonts w:ascii="Times New Roman" w:hAnsi="Times New Roman" w:cs="Times New Roman"/>
          <w:sz w:val="24"/>
          <w:szCs w:val="24"/>
        </w:rPr>
      </w:pPr>
      <w:r w:rsidRPr="0070486A">
        <w:rPr>
          <w:rFonts w:ascii="Times New Roman Bold" w:hAnsi="Times New Roman Bold" w:cs="Times New Roman"/>
          <w:b/>
          <w:smallCaps/>
          <w:sz w:val="24"/>
          <w:szCs w:val="24"/>
          <w:u w:val="single"/>
        </w:rPr>
        <w:t>Keywords:</w:t>
      </w:r>
      <w:r w:rsidRPr="0070486A">
        <w:rPr>
          <w:rFonts w:ascii="Times New Roman" w:hAnsi="Times New Roman" w:cs="Times New Roman"/>
          <w:sz w:val="24"/>
          <w:szCs w:val="24"/>
        </w:rPr>
        <w:t xml:space="preserve"> property tax; </w:t>
      </w:r>
      <w:r w:rsidR="00B114F8" w:rsidRPr="0070486A">
        <w:rPr>
          <w:rFonts w:ascii="Times New Roman" w:hAnsi="Times New Roman" w:cs="Times New Roman"/>
          <w:sz w:val="24"/>
          <w:szCs w:val="24"/>
        </w:rPr>
        <w:t>l</w:t>
      </w:r>
      <w:r w:rsidRPr="0070486A">
        <w:rPr>
          <w:rFonts w:ascii="Times New Roman" w:hAnsi="Times New Roman" w:cs="Times New Roman"/>
          <w:sz w:val="24"/>
          <w:szCs w:val="24"/>
        </w:rPr>
        <w:t xml:space="preserve">ocal </w:t>
      </w:r>
      <w:r w:rsidR="00B114F8" w:rsidRPr="0070486A">
        <w:rPr>
          <w:rFonts w:ascii="Times New Roman" w:hAnsi="Times New Roman" w:cs="Times New Roman"/>
          <w:sz w:val="24"/>
          <w:szCs w:val="24"/>
        </w:rPr>
        <w:t xml:space="preserve">government </w:t>
      </w:r>
      <w:r w:rsidRPr="0070486A">
        <w:rPr>
          <w:rFonts w:ascii="Times New Roman" w:hAnsi="Times New Roman" w:cs="Times New Roman"/>
          <w:sz w:val="24"/>
          <w:szCs w:val="24"/>
        </w:rPr>
        <w:t>finance; assessment; tax base elasticity.</w:t>
      </w:r>
    </w:p>
    <w:p w:rsidR="00516887" w:rsidRDefault="00516887" w:rsidP="00516887">
      <w:pPr>
        <w:spacing w:after="0" w:line="240" w:lineRule="auto"/>
        <w:rPr>
          <w:rFonts w:ascii="Times New Roman" w:hAnsi="Times New Roman" w:cs="Times New Roman"/>
          <w:b/>
          <w:sz w:val="24"/>
          <w:szCs w:val="24"/>
          <w:u w:val="single"/>
        </w:rPr>
      </w:pPr>
    </w:p>
    <w:p w:rsidR="00516887" w:rsidRPr="0070486A" w:rsidRDefault="00516887" w:rsidP="00516887">
      <w:pPr>
        <w:spacing w:after="0" w:line="240" w:lineRule="auto"/>
        <w:rPr>
          <w:rFonts w:ascii="Times New Roman" w:hAnsi="Times New Roman" w:cs="Times New Roman"/>
          <w:b/>
          <w:sz w:val="24"/>
          <w:szCs w:val="24"/>
          <w:u w:val="single"/>
        </w:rPr>
      </w:pPr>
    </w:p>
    <w:p w:rsidR="007D455D" w:rsidRPr="007D455D" w:rsidRDefault="00516887" w:rsidP="007D455D">
      <w:pPr>
        <w:spacing w:after="0" w:line="240" w:lineRule="auto"/>
        <w:rPr>
          <w:rFonts w:ascii="Times New Roman" w:hAnsi="Times New Roman" w:cs="Times New Roman"/>
          <w:sz w:val="24"/>
          <w:szCs w:val="24"/>
        </w:rPr>
      </w:pPr>
      <w:r w:rsidRPr="0070486A">
        <w:rPr>
          <w:rFonts w:ascii="Times New Roman" w:hAnsi="Times New Roman" w:cs="Times New Roman"/>
          <w:sz w:val="24"/>
          <w:szCs w:val="24"/>
        </w:rPr>
        <w:t xml:space="preserve">* Corresponding author: James Alm, Department of Economics, Tulane University, 208 Tilton Hall, 6823 St. Charles Avenue, New Orleans, LA 70118 (phone 1 504 862 8344; fax 1 504 865 5869).  Email addresses: </w:t>
      </w:r>
      <w:hyperlink r:id="rId9" w:history="1">
        <w:r w:rsidRPr="0070486A">
          <w:rPr>
            <w:rStyle w:val="Hyperlink"/>
            <w:rFonts w:ascii="Times New Roman" w:hAnsi="Times New Roman" w:cs="Times New Roman"/>
            <w:sz w:val="24"/>
            <w:szCs w:val="24"/>
          </w:rPr>
          <w:t>jalm@tulane.edu</w:t>
        </w:r>
      </w:hyperlink>
      <w:r w:rsidRPr="0070486A">
        <w:rPr>
          <w:rFonts w:ascii="Times New Roman" w:hAnsi="Times New Roman" w:cs="Times New Roman"/>
          <w:sz w:val="24"/>
          <w:szCs w:val="24"/>
        </w:rPr>
        <w:t xml:space="preserve"> (Alm); </w:t>
      </w:r>
      <w:hyperlink r:id="rId10" w:history="1">
        <w:r w:rsidRPr="0070486A">
          <w:rPr>
            <w:rStyle w:val="Hyperlink"/>
            <w:rFonts w:ascii="Times New Roman" w:hAnsi="Times New Roman" w:cs="Times New Roman"/>
            <w:sz w:val="24"/>
            <w:szCs w:val="24"/>
          </w:rPr>
          <w:t>rbuschman1@gsu.edu</w:t>
        </w:r>
      </w:hyperlink>
      <w:r w:rsidRPr="0070486A">
        <w:rPr>
          <w:rFonts w:ascii="Times New Roman" w:hAnsi="Times New Roman" w:cs="Times New Roman"/>
          <w:sz w:val="24"/>
          <w:szCs w:val="24"/>
        </w:rPr>
        <w:t xml:space="preserve"> (Buschman); </w:t>
      </w:r>
      <w:hyperlink r:id="rId11" w:history="1">
        <w:r w:rsidRPr="0070486A">
          <w:rPr>
            <w:rStyle w:val="Hyperlink"/>
            <w:rFonts w:ascii="Times New Roman" w:hAnsi="Times New Roman" w:cs="Times New Roman"/>
            <w:sz w:val="24"/>
            <w:szCs w:val="24"/>
          </w:rPr>
          <w:t>sjoquist@gsu.edu</w:t>
        </w:r>
      </w:hyperlink>
      <w:r w:rsidRPr="0070486A">
        <w:rPr>
          <w:rFonts w:ascii="Times New Roman" w:hAnsi="Times New Roman" w:cs="Times New Roman"/>
          <w:sz w:val="24"/>
          <w:szCs w:val="24"/>
        </w:rPr>
        <w:t xml:space="preserve"> (Sjoquist).</w:t>
      </w:r>
      <w:r w:rsidRPr="0070486A">
        <w:rPr>
          <w:rFonts w:ascii="Times New Roman" w:hAnsi="Times New Roman" w:cs="Times New Roman"/>
          <w:color w:val="333333"/>
          <w:sz w:val="24"/>
          <w:szCs w:val="24"/>
        </w:rPr>
        <w:t xml:space="preserve"> </w:t>
      </w:r>
      <w:r w:rsidR="007D455D" w:rsidRPr="007D455D">
        <w:rPr>
          <w:rFonts w:ascii="Times New Roman" w:hAnsi="Times New Roman" w:cs="Times New Roman"/>
          <w:sz w:val="24"/>
          <w:szCs w:val="24"/>
        </w:rPr>
        <w:t>We thank the Lincoln Institute of Land Policy</w:t>
      </w:r>
      <w:r w:rsidR="00A066C3">
        <w:rPr>
          <w:rFonts w:ascii="Times New Roman" w:hAnsi="Times New Roman" w:cs="Times New Roman"/>
          <w:sz w:val="24"/>
          <w:szCs w:val="24"/>
        </w:rPr>
        <w:t xml:space="preserve"> for financial support</w:t>
      </w:r>
      <w:r w:rsidR="007D455D">
        <w:rPr>
          <w:rFonts w:ascii="Times New Roman" w:hAnsi="Times New Roman" w:cs="Times New Roman"/>
          <w:sz w:val="24"/>
          <w:szCs w:val="24"/>
        </w:rPr>
        <w:t>,</w:t>
      </w:r>
      <w:r w:rsidR="007D455D" w:rsidRPr="007D455D">
        <w:rPr>
          <w:rFonts w:ascii="Times New Roman" w:hAnsi="Times New Roman" w:cs="Times New Roman"/>
          <w:sz w:val="24"/>
          <w:szCs w:val="24"/>
        </w:rPr>
        <w:t xml:space="preserve"> Andrew Hanson for comments on an earlier version of the paper</w:t>
      </w:r>
      <w:r w:rsidR="007D455D">
        <w:rPr>
          <w:rFonts w:ascii="Times New Roman" w:hAnsi="Times New Roman" w:cs="Times New Roman"/>
          <w:sz w:val="24"/>
          <w:szCs w:val="24"/>
        </w:rPr>
        <w:t>, Lakshmi Pandey for preparing the maps, and Jim Martin for assistance in understanding the foreclosure process</w:t>
      </w:r>
      <w:r w:rsidR="007D455D" w:rsidRPr="007D455D">
        <w:rPr>
          <w:rFonts w:ascii="Times New Roman" w:hAnsi="Times New Roman" w:cs="Times New Roman"/>
          <w:sz w:val="24"/>
          <w:szCs w:val="24"/>
        </w:rPr>
        <w:t>.</w:t>
      </w:r>
    </w:p>
    <w:p w:rsidR="007D455D" w:rsidRPr="0070486A" w:rsidRDefault="007D455D" w:rsidP="007D455D">
      <w:pPr>
        <w:spacing w:after="0" w:line="240" w:lineRule="auto"/>
        <w:rPr>
          <w:rFonts w:ascii="Times New Roman" w:hAnsi="Times New Roman" w:cs="Times New Roman"/>
          <w:b/>
          <w:sz w:val="24"/>
          <w:szCs w:val="24"/>
          <w:u w:val="single"/>
        </w:rPr>
      </w:pPr>
    </w:p>
    <w:p w:rsidR="00516887" w:rsidRPr="0070486A" w:rsidRDefault="00516887" w:rsidP="00516887">
      <w:pPr>
        <w:shd w:val="clear" w:color="auto" w:fill="FFFFFF"/>
        <w:spacing w:after="0" w:line="240" w:lineRule="auto"/>
        <w:rPr>
          <w:rFonts w:ascii="Times New Roman" w:hAnsi="Times New Roman" w:cs="Times New Roman"/>
          <w:color w:val="333333"/>
          <w:sz w:val="24"/>
          <w:szCs w:val="24"/>
        </w:rPr>
      </w:pPr>
    </w:p>
    <w:p w:rsidR="00516887" w:rsidRPr="0070486A" w:rsidRDefault="00516887" w:rsidP="00516887">
      <w:pPr>
        <w:autoSpaceDE w:val="0"/>
        <w:autoSpaceDN w:val="0"/>
        <w:adjustRightInd w:val="0"/>
        <w:spacing w:after="0" w:line="480" w:lineRule="auto"/>
        <w:rPr>
          <w:rFonts w:ascii="Times New Roman" w:hAnsi="Times New Roman" w:cs="Times New Roman"/>
          <w:b/>
          <w:sz w:val="24"/>
          <w:szCs w:val="24"/>
          <w:u w:val="single"/>
        </w:rPr>
      </w:pPr>
      <w:r w:rsidRPr="0070486A">
        <w:rPr>
          <w:rFonts w:ascii="Times New Roman" w:hAnsi="Times New Roman" w:cs="Times New Roman"/>
          <w:b/>
          <w:sz w:val="24"/>
          <w:szCs w:val="24"/>
          <w:u w:val="single"/>
        </w:rPr>
        <w:lastRenderedPageBreak/>
        <w:t xml:space="preserve">I.  </w:t>
      </w:r>
      <w:r w:rsidRPr="0070486A">
        <w:rPr>
          <w:rFonts w:ascii="Times New Roman" w:hAnsi="Times New Roman" w:cs="Times New Roman"/>
          <w:b/>
          <w:smallCaps/>
          <w:sz w:val="24"/>
          <w:szCs w:val="24"/>
          <w:u w:val="single"/>
        </w:rPr>
        <w:t>Introduction</w:t>
      </w:r>
    </w:p>
    <w:p w:rsidR="00746B15" w:rsidRDefault="00D6465D" w:rsidP="00516887">
      <w:pPr>
        <w:autoSpaceDE w:val="0"/>
        <w:autoSpaceDN w:val="0"/>
        <w:adjustRightInd w:val="0"/>
        <w:spacing w:after="0" w:line="480" w:lineRule="auto"/>
        <w:ind w:firstLine="720"/>
        <w:rPr>
          <w:rFonts w:ascii="Times New Roman" w:hAnsi="Times New Roman" w:cs="Times New Roman"/>
          <w:sz w:val="24"/>
          <w:szCs w:val="24"/>
        </w:rPr>
      </w:pPr>
      <w:r w:rsidRPr="006D3591">
        <w:rPr>
          <w:rFonts w:ascii="Times New Roman" w:hAnsi="Times New Roman" w:cs="Times New Roman"/>
          <w:sz w:val="24"/>
          <w:szCs w:val="24"/>
        </w:rPr>
        <w:t>Historically, local governments in the United States have relied on the property tax as one of their main sources of own-source revenues.  With the collapse of housing prices and the resulting increase in foreclosures</w:t>
      </w:r>
      <w:r w:rsidR="008A133F">
        <w:rPr>
          <w:rFonts w:ascii="Times New Roman" w:hAnsi="Times New Roman" w:cs="Times New Roman"/>
          <w:sz w:val="24"/>
          <w:szCs w:val="24"/>
        </w:rPr>
        <w:t xml:space="preserve"> that followed the “Great Recession”</w:t>
      </w:r>
      <w:r w:rsidRPr="006D3591">
        <w:rPr>
          <w:rFonts w:ascii="Times New Roman" w:hAnsi="Times New Roman" w:cs="Times New Roman"/>
          <w:sz w:val="24"/>
          <w:szCs w:val="24"/>
        </w:rPr>
        <w:t>, many observers speculated that local governments w</w:t>
      </w:r>
      <w:r w:rsidR="00604D62">
        <w:rPr>
          <w:rFonts w:ascii="Times New Roman" w:hAnsi="Times New Roman" w:cs="Times New Roman"/>
          <w:sz w:val="24"/>
          <w:szCs w:val="24"/>
        </w:rPr>
        <w:t>ould</w:t>
      </w:r>
      <w:r w:rsidRPr="006D3591">
        <w:rPr>
          <w:rFonts w:ascii="Times New Roman" w:hAnsi="Times New Roman" w:cs="Times New Roman"/>
          <w:sz w:val="24"/>
          <w:szCs w:val="24"/>
        </w:rPr>
        <w:t xml:space="preserve"> suffer significant revenue losses, either immediately or in the near future.  However, the actual impact of foreclosures on </w:t>
      </w:r>
      <w:r w:rsidR="00AB0F39" w:rsidRPr="006D3591">
        <w:rPr>
          <w:rFonts w:ascii="Times New Roman" w:hAnsi="Times New Roman" w:cs="Times New Roman"/>
          <w:sz w:val="24"/>
          <w:szCs w:val="24"/>
        </w:rPr>
        <w:t xml:space="preserve">property tax revenues is, surprisingly, unknown at present.  </w:t>
      </w:r>
      <w:r w:rsidR="00604D62">
        <w:rPr>
          <w:rFonts w:ascii="Times New Roman" w:hAnsi="Times New Roman" w:cs="Times New Roman"/>
          <w:sz w:val="24"/>
          <w:szCs w:val="24"/>
        </w:rPr>
        <w:t>While there are several studies of the effect of foreclosures on value of foreclosed property and its immediate surrounding properties, t</w:t>
      </w:r>
      <w:r w:rsidR="00746B15" w:rsidRPr="006D3591">
        <w:rPr>
          <w:rFonts w:ascii="Times New Roman" w:hAnsi="Times New Roman" w:cs="Times New Roman"/>
          <w:sz w:val="24"/>
          <w:szCs w:val="24"/>
        </w:rPr>
        <w:t>o our knowledge there is no existing work that examines the impacts of foreclosures on property tax revenues.</w:t>
      </w:r>
      <w:r w:rsidR="00604D62">
        <w:rPr>
          <w:rFonts w:ascii="Times New Roman" w:hAnsi="Times New Roman" w:cs="Times New Roman"/>
          <w:sz w:val="24"/>
          <w:szCs w:val="24"/>
        </w:rPr>
        <w:t xml:space="preserve">  </w:t>
      </w:r>
      <w:r w:rsidR="009414B8">
        <w:rPr>
          <w:rFonts w:ascii="Times New Roman" w:hAnsi="Times New Roman" w:cs="Times New Roman"/>
          <w:sz w:val="24"/>
          <w:szCs w:val="24"/>
        </w:rPr>
        <w:t>Our purpose in</w:t>
      </w:r>
      <w:r w:rsidR="00604D62">
        <w:rPr>
          <w:rFonts w:ascii="Times New Roman" w:hAnsi="Times New Roman" w:cs="Times New Roman"/>
          <w:sz w:val="24"/>
          <w:szCs w:val="24"/>
        </w:rPr>
        <w:t xml:space="preserve"> this paper is to explore the effect of foreclosures on the property tax base, levy</w:t>
      </w:r>
      <w:r w:rsidR="009414B8">
        <w:rPr>
          <w:rFonts w:ascii="Times New Roman" w:hAnsi="Times New Roman" w:cs="Times New Roman"/>
          <w:sz w:val="24"/>
          <w:szCs w:val="24"/>
        </w:rPr>
        <w:t>,</w:t>
      </w:r>
      <w:r w:rsidR="00604D62">
        <w:rPr>
          <w:rFonts w:ascii="Times New Roman" w:hAnsi="Times New Roman" w:cs="Times New Roman"/>
          <w:sz w:val="24"/>
          <w:szCs w:val="24"/>
        </w:rPr>
        <w:t xml:space="preserve"> and revenue. </w:t>
      </w:r>
    </w:p>
    <w:p w:rsidR="00516887" w:rsidRPr="00516887" w:rsidRDefault="00604D62" w:rsidP="00A0392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conduct this research w</w:t>
      </w:r>
      <w:r w:rsidR="00F113E7">
        <w:rPr>
          <w:rFonts w:ascii="Times New Roman" w:hAnsi="Times New Roman" w:cs="Times New Roman"/>
          <w:sz w:val="24"/>
          <w:szCs w:val="24"/>
        </w:rPr>
        <w:t xml:space="preserve">e obtained </w:t>
      </w:r>
      <w:r w:rsidR="00516887" w:rsidRPr="006D3591">
        <w:rPr>
          <w:rFonts w:ascii="Times New Roman" w:hAnsi="Times New Roman" w:cs="Times New Roman"/>
          <w:sz w:val="24"/>
          <w:szCs w:val="24"/>
        </w:rPr>
        <w:t xml:space="preserve">annual </w:t>
      </w:r>
      <w:r w:rsidR="00516887">
        <w:rPr>
          <w:rFonts w:ascii="Times New Roman" w:hAnsi="Times New Roman" w:cs="Times New Roman"/>
          <w:sz w:val="24"/>
          <w:szCs w:val="24"/>
        </w:rPr>
        <w:t xml:space="preserve">information </w:t>
      </w:r>
      <w:r w:rsidR="006422B0">
        <w:rPr>
          <w:rFonts w:ascii="Times New Roman" w:hAnsi="Times New Roman" w:cs="Times New Roman"/>
          <w:sz w:val="24"/>
          <w:szCs w:val="24"/>
        </w:rPr>
        <w:t xml:space="preserve">from RealtyTrac </w:t>
      </w:r>
      <w:r w:rsidR="00746B15">
        <w:rPr>
          <w:rFonts w:ascii="Times New Roman" w:hAnsi="Times New Roman" w:cs="Times New Roman"/>
          <w:sz w:val="24"/>
          <w:szCs w:val="24"/>
        </w:rPr>
        <w:t xml:space="preserve">for the period 2006 through 2011 </w:t>
      </w:r>
      <w:r w:rsidR="00516887" w:rsidRPr="006D3591">
        <w:rPr>
          <w:rFonts w:ascii="Times New Roman" w:hAnsi="Times New Roman" w:cs="Times New Roman"/>
          <w:sz w:val="24"/>
          <w:szCs w:val="24"/>
        </w:rPr>
        <w:t xml:space="preserve">on </w:t>
      </w:r>
      <w:r w:rsidR="00516887">
        <w:rPr>
          <w:rFonts w:ascii="Times New Roman" w:hAnsi="Times New Roman" w:cs="Times New Roman"/>
          <w:sz w:val="24"/>
          <w:szCs w:val="24"/>
        </w:rPr>
        <w:t>foreclosure “activity”</w:t>
      </w:r>
      <w:r w:rsidR="00746B15">
        <w:rPr>
          <w:rFonts w:ascii="Times New Roman" w:hAnsi="Times New Roman" w:cs="Times New Roman"/>
          <w:sz w:val="24"/>
          <w:szCs w:val="24"/>
        </w:rPr>
        <w:t xml:space="preserve"> (e.g., </w:t>
      </w:r>
      <w:r w:rsidR="00516887">
        <w:rPr>
          <w:rFonts w:ascii="Times New Roman" w:hAnsi="Times New Roman" w:cs="Times New Roman"/>
          <w:sz w:val="24"/>
          <w:szCs w:val="24"/>
        </w:rPr>
        <w:t>the</w:t>
      </w:r>
      <w:r w:rsidR="00197294">
        <w:rPr>
          <w:rFonts w:ascii="Times New Roman" w:hAnsi="Times New Roman" w:cs="Times New Roman"/>
          <w:sz w:val="24"/>
          <w:szCs w:val="24"/>
        </w:rPr>
        <w:t xml:space="preserve"> </w:t>
      </w:r>
      <w:r w:rsidR="00516887" w:rsidRPr="006D3591">
        <w:rPr>
          <w:rFonts w:ascii="Times New Roman" w:hAnsi="Times New Roman" w:cs="Times New Roman"/>
          <w:sz w:val="24"/>
          <w:szCs w:val="24"/>
        </w:rPr>
        <w:t>flow of newly foreclosed prop</w:t>
      </w:r>
      <w:r w:rsidR="00516887">
        <w:rPr>
          <w:rFonts w:ascii="Times New Roman" w:hAnsi="Times New Roman" w:cs="Times New Roman"/>
          <w:sz w:val="24"/>
          <w:szCs w:val="24"/>
        </w:rPr>
        <w:t>erties into foreclosure filings</w:t>
      </w:r>
      <w:r w:rsidR="00746B15">
        <w:rPr>
          <w:rFonts w:ascii="Times New Roman" w:hAnsi="Times New Roman" w:cs="Times New Roman"/>
          <w:sz w:val="24"/>
          <w:szCs w:val="24"/>
        </w:rPr>
        <w:t>)</w:t>
      </w:r>
      <w:r w:rsidR="00CB0721">
        <w:rPr>
          <w:rFonts w:ascii="Times New Roman" w:hAnsi="Times New Roman" w:cs="Times New Roman"/>
          <w:sz w:val="24"/>
          <w:szCs w:val="24"/>
        </w:rPr>
        <w:t>.</w:t>
      </w:r>
      <w:r w:rsidR="00CB0721">
        <w:rPr>
          <w:rStyle w:val="FootnoteReference"/>
          <w:rFonts w:ascii="Times New Roman" w:hAnsi="Times New Roman" w:cs="Times New Roman"/>
          <w:sz w:val="24"/>
          <w:szCs w:val="24"/>
        </w:rPr>
        <w:footnoteReference w:id="1"/>
      </w:r>
      <w:r w:rsidR="00F113E7">
        <w:rPr>
          <w:rFonts w:ascii="Times New Roman" w:hAnsi="Times New Roman" w:cs="Times New Roman"/>
          <w:sz w:val="24"/>
          <w:szCs w:val="24"/>
        </w:rPr>
        <w:t xml:space="preserve"> </w:t>
      </w:r>
      <w:r w:rsidR="00CB0721">
        <w:rPr>
          <w:rFonts w:ascii="Times New Roman" w:hAnsi="Times New Roman" w:cs="Times New Roman"/>
          <w:sz w:val="24"/>
          <w:szCs w:val="24"/>
        </w:rPr>
        <w:t xml:space="preserve"> </w:t>
      </w:r>
      <w:r w:rsidR="00516887" w:rsidRPr="008A133F">
        <w:rPr>
          <w:rFonts w:ascii="Times New Roman" w:hAnsi="Times New Roman" w:cs="Times New Roman"/>
          <w:sz w:val="24"/>
          <w:szCs w:val="24"/>
        </w:rPr>
        <w:t xml:space="preserve">For either activity or inventory data, these data are available at </w:t>
      </w:r>
      <w:r w:rsidR="00F113E7">
        <w:rPr>
          <w:rFonts w:ascii="Times New Roman" w:hAnsi="Times New Roman" w:cs="Times New Roman"/>
          <w:sz w:val="24"/>
          <w:szCs w:val="24"/>
        </w:rPr>
        <w:t>the</w:t>
      </w:r>
      <w:r w:rsidR="00CB0721">
        <w:rPr>
          <w:rFonts w:ascii="Times New Roman" w:hAnsi="Times New Roman" w:cs="Times New Roman"/>
          <w:sz w:val="24"/>
          <w:szCs w:val="24"/>
        </w:rPr>
        <w:t xml:space="preserve"> zip code </w:t>
      </w:r>
      <w:r w:rsidR="00F113E7">
        <w:rPr>
          <w:rFonts w:ascii="Times New Roman" w:hAnsi="Times New Roman" w:cs="Times New Roman"/>
          <w:sz w:val="24"/>
          <w:szCs w:val="24"/>
        </w:rPr>
        <w:t>level</w:t>
      </w:r>
      <w:r w:rsidR="00516887" w:rsidRPr="008A133F">
        <w:rPr>
          <w:rFonts w:ascii="Times New Roman" w:hAnsi="Times New Roman" w:cs="Times New Roman"/>
          <w:sz w:val="24"/>
          <w:szCs w:val="24"/>
        </w:rPr>
        <w:t xml:space="preserve">.  </w:t>
      </w:r>
      <w:r w:rsidR="008A133F" w:rsidRPr="008A133F">
        <w:rPr>
          <w:rFonts w:ascii="Times New Roman" w:hAnsi="Times New Roman" w:cs="Times New Roman"/>
          <w:sz w:val="24"/>
          <w:szCs w:val="24"/>
        </w:rPr>
        <w:t xml:space="preserve">This period both </w:t>
      </w:r>
      <w:r w:rsidR="00A066C3">
        <w:rPr>
          <w:rFonts w:ascii="Times New Roman" w:hAnsi="Times New Roman" w:cs="Times New Roman"/>
          <w:sz w:val="24"/>
          <w:szCs w:val="24"/>
        </w:rPr>
        <w:t xml:space="preserve">precedes and follows the </w:t>
      </w:r>
      <w:r w:rsidR="008A133F" w:rsidRPr="008A133F">
        <w:rPr>
          <w:rFonts w:ascii="Times New Roman" w:hAnsi="Times New Roman" w:cs="Times New Roman"/>
          <w:sz w:val="24"/>
          <w:szCs w:val="24"/>
        </w:rPr>
        <w:t>Great Recession, which lasted officially from December 2007 to June 2009.</w:t>
      </w:r>
      <w:r w:rsidR="008A133F">
        <w:rPr>
          <w:rFonts w:ascii="Times New Roman" w:hAnsi="Times New Roman" w:cs="Times New Roman"/>
          <w:sz w:val="24"/>
          <w:szCs w:val="24"/>
        </w:rPr>
        <w:t xml:space="preserve">  </w:t>
      </w:r>
      <w:r w:rsidR="00516887" w:rsidRPr="008A133F">
        <w:rPr>
          <w:rFonts w:ascii="Times New Roman" w:hAnsi="Times New Roman" w:cs="Times New Roman"/>
          <w:sz w:val="24"/>
          <w:szCs w:val="24"/>
        </w:rPr>
        <w:t xml:space="preserve">We use these data, </w:t>
      </w:r>
      <w:r w:rsidR="00AF0694">
        <w:rPr>
          <w:rFonts w:ascii="Times New Roman" w:hAnsi="Times New Roman" w:cs="Times New Roman"/>
          <w:sz w:val="24"/>
          <w:szCs w:val="24"/>
        </w:rPr>
        <w:t xml:space="preserve">along with </w:t>
      </w:r>
      <w:r w:rsidR="00516887" w:rsidRPr="006D3591">
        <w:rPr>
          <w:rFonts w:ascii="Times New Roman" w:hAnsi="Times New Roman" w:cs="Times New Roman"/>
          <w:sz w:val="24"/>
          <w:szCs w:val="24"/>
        </w:rPr>
        <w:t>demographic</w:t>
      </w:r>
      <w:r w:rsidR="00AF0694">
        <w:rPr>
          <w:rFonts w:ascii="Times New Roman" w:hAnsi="Times New Roman" w:cs="Times New Roman"/>
          <w:sz w:val="24"/>
          <w:szCs w:val="24"/>
        </w:rPr>
        <w:t xml:space="preserve"> and </w:t>
      </w:r>
      <w:r w:rsidR="00516887" w:rsidRPr="006D3591">
        <w:rPr>
          <w:rFonts w:ascii="Times New Roman" w:hAnsi="Times New Roman" w:cs="Times New Roman"/>
          <w:sz w:val="24"/>
          <w:szCs w:val="24"/>
        </w:rPr>
        <w:t xml:space="preserve">economic </w:t>
      </w:r>
      <w:r w:rsidR="00AF0694">
        <w:rPr>
          <w:rFonts w:ascii="Times New Roman" w:hAnsi="Times New Roman" w:cs="Times New Roman"/>
          <w:sz w:val="24"/>
          <w:szCs w:val="24"/>
        </w:rPr>
        <w:t>controls</w:t>
      </w:r>
      <w:r w:rsidR="00516887" w:rsidRPr="006D3591">
        <w:rPr>
          <w:rFonts w:ascii="Times New Roman" w:hAnsi="Times New Roman" w:cs="Times New Roman"/>
          <w:sz w:val="24"/>
          <w:szCs w:val="24"/>
        </w:rPr>
        <w:t xml:space="preserve">, to estimate the impacts of foreclosures on </w:t>
      </w:r>
      <w:r w:rsidR="00AF0694">
        <w:rPr>
          <w:rFonts w:ascii="Times New Roman" w:hAnsi="Times New Roman" w:cs="Times New Roman"/>
          <w:sz w:val="24"/>
          <w:szCs w:val="24"/>
        </w:rPr>
        <w:t>property</w:t>
      </w:r>
      <w:r w:rsidR="00F113E7">
        <w:rPr>
          <w:rFonts w:ascii="Times New Roman" w:hAnsi="Times New Roman" w:cs="Times New Roman"/>
          <w:sz w:val="24"/>
          <w:szCs w:val="24"/>
        </w:rPr>
        <w:t xml:space="preserve"> values</w:t>
      </w:r>
      <w:r w:rsidR="009F4637">
        <w:rPr>
          <w:rFonts w:ascii="Times New Roman" w:hAnsi="Times New Roman" w:cs="Times New Roman"/>
          <w:sz w:val="24"/>
          <w:szCs w:val="24"/>
        </w:rPr>
        <w:t>,</w:t>
      </w:r>
      <w:r w:rsidR="00F113E7">
        <w:rPr>
          <w:rFonts w:ascii="Times New Roman" w:hAnsi="Times New Roman" w:cs="Times New Roman"/>
          <w:sz w:val="24"/>
          <w:szCs w:val="24"/>
        </w:rPr>
        <w:t xml:space="preserve"> </w:t>
      </w:r>
      <w:r w:rsidR="00AF0694">
        <w:rPr>
          <w:rFonts w:ascii="Times New Roman" w:hAnsi="Times New Roman" w:cs="Times New Roman"/>
          <w:sz w:val="24"/>
          <w:szCs w:val="24"/>
        </w:rPr>
        <w:t>and</w:t>
      </w:r>
      <w:r w:rsidR="00516887" w:rsidRPr="006D3591">
        <w:rPr>
          <w:rFonts w:ascii="Times New Roman" w:hAnsi="Times New Roman" w:cs="Times New Roman"/>
          <w:sz w:val="24"/>
          <w:szCs w:val="24"/>
        </w:rPr>
        <w:t xml:space="preserve"> property tax </w:t>
      </w:r>
      <w:r w:rsidR="00AF0694">
        <w:rPr>
          <w:rFonts w:ascii="Times New Roman" w:hAnsi="Times New Roman" w:cs="Times New Roman"/>
          <w:sz w:val="24"/>
          <w:szCs w:val="24"/>
        </w:rPr>
        <w:t xml:space="preserve">levies and </w:t>
      </w:r>
      <w:r w:rsidR="00516887" w:rsidRPr="006D3591">
        <w:rPr>
          <w:rFonts w:ascii="Times New Roman" w:hAnsi="Times New Roman" w:cs="Times New Roman"/>
          <w:sz w:val="24"/>
          <w:szCs w:val="24"/>
        </w:rPr>
        <w:t>revenues</w:t>
      </w:r>
      <w:r w:rsidR="00F113E7">
        <w:rPr>
          <w:rFonts w:ascii="Times New Roman" w:hAnsi="Times New Roman" w:cs="Times New Roman"/>
          <w:sz w:val="24"/>
          <w:szCs w:val="24"/>
        </w:rPr>
        <w:t xml:space="preserve"> for</w:t>
      </w:r>
      <w:r w:rsidR="00516887">
        <w:rPr>
          <w:rFonts w:ascii="Times New Roman" w:hAnsi="Times New Roman" w:cs="Times New Roman"/>
          <w:sz w:val="24"/>
          <w:szCs w:val="24"/>
        </w:rPr>
        <w:t xml:space="preserve"> school districts in the State of Georgia</w:t>
      </w:r>
      <w:r w:rsidR="009F4637">
        <w:rPr>
          <w:rFonts w:ascii="Times New Roman" w:hAnsi="Times New Roman" w:cs="Times New Roman"/>
          <w:sz w:val="24"/>
          <w:szCs w:val="24"/>
        </w:rPr>
        <w:t xml:space="preserve"> in an attempt t</w:t>
      </w:r>
      <w:r w:rsidR="009F4637" w:rsidRPr="0070486A">
        <w:rPr>
          <w:rFonts w:ascii="Times New Roman" w:hAnsi="Times New Roman" w:cs="Times New Roman"/>
          <w:sz w:val="24"/>
          <w:szCs w:val="24"/>
        </w:rPr>
        <w:t xml:space="preserve">o </w:t>
      </w:r>
      <w:r w:rsidR="00C754BD">
        <w:rPr>
          <w:rFonts w:ascii="Times New Roman" w:hAnsi="Times New Roman" w:cs="Times New Roman"/>
          <w:sz w:val="24"/>
          <w:szCs w:val="24"/>
        </w:rPr>
        <w:t xml:space="preserve">address </w:t>
      </w:r>
      <w:r w:rsidR="009F4637" w:rsidRPr="0070486A">
        <w:rPr>
          <w:rFonts w:ascii="Times New Roman" w:hAnsi="Times New Roman" w:cs="Times New Roman"/>
          <w:sz w:val="24"/>
          <w:szCs w:val="24"/>
        </w:rPr>
        <w:t xml:space="preserve">the question: How have recent foreclosures affected the property tax </w:t>
      </w:r>
      <w:r w:rsidR="009F4637">
        <w:rPr>
          <w:rFonts w:ascii="Times New Roman" w:hAnsi="Times New Roman" w:cs="Times New Roman"/>
          <w:sz w:val="24"/>
          <w:szCs w:val="24"/>
        </w:rPr>
        <w:t>system</w:t>
      </w:r>
      <w:r w:rsidR="009F4637" w:rsidRPr="0070486A">
        <w:rPr>
          <w:rFonts w:ascii="Times New Roman" w:hAnsi="Times New Roman" w:cs="Times New Roman"/>
          <w:sz w:val="24"/>
          <w:szCs w:val="24"/>
        </w:rPr>
        <w:t xml:space="preserve"> of local governments?</w:t>
      </w:r>
    </w:p>
    <w:p w:rsidR="00516887" w:rsidRDefault="00516887" w:rsidP="00516887">
      <w:pPr>
        <w:autoSpaceDE w:val="0"/>
        <w:autoSpaceDN w:val="0"/>
        <w:adjustRightInd w:val="0"/>
        <w:spacing w:after="0" w:line="480" w:lineRule="auto"/>
        <w:ind w:firstLine="720"/>
        <w:rPr>
          <w:rFonts w:ascii="Times New Roman" w:hAnsi="Times New Roman" w:cs="Times New Roman"/>
          <w:sz w:val="24"/>
          <w:szCs w:val="24"/>
        </w:rPr>
      </w:pPr>
      <w:r w:rsidRPr="0070486A">
        <w:rPr>
          <w:rFonts w:ascii="Times New Roman" w:hAnsi="Times New Roman" w:cs="Times New Roman"/>
          <w:sz w:val="24"/>
          <w:szCs w:val="24"/>
        </w:rPr>
        <w:t xml:space="preserve">We focus on a single state (Georgia) rather than all states or a group of states.  Looking at differences across local school systems within a single state has some advantages over considering differences across states.  By focusing on a single state, we need not consider how to control for the many ways in which institutional factors may differ across states.  Georgia is also a good state to use </w:t>
      </w:r>
      <w:r w:rsidRPr="0070486A">
        <w:rPr>
          <w:rFonts w:ascii="Times New Roman" w:hAnsi="Times New Roman" w:cs="Times New Roman"/>
          <w:sz w:val="24"/>
          <w:szCs w:val="24"/>
        </w:rPr>
        <w:lastRenderedPageBreak/>
        <w:t>to study the e</w:t>
      </w:r>
      <w:r w:rsidR="00A066C3">
        <w:rPr>
          <w:rFonts w:ascii="Times New Roman" w:hAnsi="Times New Roman" w:cs="Times New Roman"/>
          <w:sz w:val="24"/>
          <w:szCs w:val="24"/>
        </w:rPr>
        <w:t xml:space="preserve">ffects of the </w:t>
      </w:r>
      <w:r w:rsidRPr="0070486A">
        <w:rPr>
          <w:rFonts w:ascii="Times New Roman" w:hAnsi="Times New Roman" w:cs="Times New Roman"/>
          <w:sz w:val="24"/>
          <w:szCs w:val="24"/>
        </w:rPr>
        <w:t xml:space="preserve">Great Recession and its impact on foreclosures.  </w:t>
      </w:r>
      <w:r w:rsidRPr="0070486A">
        <w:rPr>
          <w:rFonts w:ascii="Times New Roman" w:hAnsi="Times New Roman" w:cs="Times New Roman"/>
          <w:sz w:val="24"/>
          <w:szCs w:val="24"/>
          <w:lang w:val="en-CA"/>
        </w:rPr>
        <w:t xml:space="preserve">Georgia is in many ways roughly an “average” state.  </w:t>
      </w:r>
      <w:r w:rsidR="00F113E7">
        <w:rPr>
          <w:rFonts w:ascii="Times New Roman" w:hAnsi="Times New Roman" w:cs="Times New Roman"/>
          <w:sz w:val="24"/>
          <w:szCs w:val="24"/>
          <w:lang w:val="en-CA"/>
        </w:rPr>
        <w:t xml:space="preserve">For example, </w:t>
      </w:r>
      <w:r w:rsidRPr="0070486A">
        <w:rPr>
          <w:rFonts w:ascii="Times New Roman" w:hAnsi="Times New Roman" w:cs="Times New Roman"/>
          <w:sz w:val="24"/>
          <w:szCs w:val="24"/>
        </w:rPr>
        <w:t>Georgia’s median household income in 20</w:t>
      </w:r>
      <w:r w:rsidR="00623712" w:rsidRPr="0070486A">
        <w:rPr>
          <w:rFonts w:ascii="Times New Roman" w:hAnsi="Times New Roman" w:cs="Times New Roman"/>
          <w:sz w:val="24"/>
          <w:szCs w:val="24"/>
        </w:rPr>
        <w:t>0</w:t>
      </w:r>
      <w:r w:rsidR="0061294F">
        <w:rPr>
          <w:rFonts w:ascii="Times New Roman" w:hAnsi="Times New Roman" w:cs="Times New Roman"/>
          <w:sz w:val="24"/>
          <w:szCs w:val="24"/>
        </w:rPr>
        <w:t>6</w:t>
      </w:r>
      <w:r w:rsidRPr="0070486A">
        <w:rPr>
          <w:rFonts w:ascii="Times New Roman" w:hAnsi="Times New Roman" w:cs="Times New Roman"/>
          <w:sz w:val="24"/>
          <w:szCs w:val="24"/>
        </w:rPr>
        <w:t xml:space="preserve"> was </w:t>
      </w:r>
      <w:r w:rsidR="00623712" w:rsidRPr="0070486A">
        <w:rPr>
          <w:rFonts w:ascii="Times New Roman" w:hAnsi="Times New Roman" w:cs="Times New Roman"/>
          <w:sz w:val="24"/>
          <w:szCs w:val="24"/>
        </w:rPr>
        <w:t>$4</w:t>
      </w:r>
      <w:r w:rsidR="0061294F">
        <w:rPr>
          <w:rFonts w:ascii="Times New Roman" w:hAnsi="Times New Roman" w:cs="Times New Roman"/>
          <w:sz w:val="24"/>
          <w:szCs w:val="24"/>
        </w:rPr>
        <w:t>6</w:t>
      </w:r>
      <w:r w:rsidR="00623712" w:rsidRPr="0070486A">
        <w:rPr>
          <w:rFonts w:ascii="Times New Roman" w:hAnsi="Times New Roman" w:cs="Times New Roman"/>
          <w:sz w:val="24"/>
          <w:szCs w:val="24"/>
        </w:rPr>
        <w:t>,</w:t>
      </w:r>
      <w:r w:rsidR="0061294F">
        <w:rPr>
          <w:rFonts w:ascii="Times New Roman" w:hAnsi="Times New Roman" w:cs="Times New Roman"/>
          <w:sz w:val="24"/>
          <w:szCs w:val="24"/>
        </w:rPr>
        <w:t>832</w:t>
      </w:r>
      <w:r w:rsidRPr="0070486A">
        <w:rPr>
          <w:rFonts w:ascii="Times New Roman" w:hAnsi="Times New Roman" w:cs="Times New Roman"/>
          <w:sz w:val="24"/>
          <w:szCs w:val="24"/>
        </w:rPr>
        <w:t xml:space="preserve">, ranking </w:t>
      </w:r>
      <w:r w:rsidR="00CB0721">
        <w:rPr>
          <w:rFonts w:ascii="Times New Roman" w:hAnsi="Times New Roman" w:cs="Times New Roman"/>
          <w:sz w:val="24"/>
          <w:szCs w:val="24"/>
        </w:rPr>
        <w:t xml:space="preserve">it </w:t>
      </w:r>
      <w:r w:rsidR="0061294F">
        <w:rPr>
          <w:rFonts w:ascii="Times New Roman" w:hAnsi="Times New Roman" w:cs="Times New Roman"/>
          <w:sz w:val="24"/>
          <w:szCs w:val="24"/>
        </w:rPr>
        <w:t>2</w:t>
      </w:r>
      <w:r w:rsidR="00623712" w:rsidRPr="0070486A">
        <w:rPr>
          <w:rFonts w:ascii="Times New Roman" w:hAnsi="Times New Roman" w:cs="Times New Roman"/>
          <w:sz w:val="24"/>
          <w:szCs w:val="24"/>
        </w:rPr>
        <w:t>4</w:t>
      </w:r>
      <w:r w:rsidR="00623712" w:rsidRPr="0070486A">
        <w:rPr>
          <w:rFonts w:ascii="Times New Roman" w:hAnsi="Times New Roman" w:cs="Times New Roman"/>
          <w:sz w:val="24"/>
          <w:szCs w:val="24"/>
          <w:vertAlign w:val="superscript"/>
        </w:rPr>
        <w:t>th</w:t>
      </w:r>
      <w:r w:rsidR="00623712" w:rsidRPr="0070486A">
        <w:rPr>
          <w:rFonts w:ascii="Times New Roman" w:hAnsi="Times New Roman" w:cs="Times New Roman"/>
          <w:sz w:val="24"/>
          <w:szCs w:val="24"/>
        </w:rPr>
        <w:t xml:space="preserve"> </w:t>
      </w:r>
      <w:r w:rsidRPr="0070486A">
        <w:rPr>
          <w:rFonts w:ascii="Times New Roman" w:hAnsi="Times New Roman" w:cs="Times New Roman"/>
          <w:sz w:val="24"/>
          <w:szCs w:val="24"/>
        </w:rPr>
        <w:t>in the U.S.</w:t>
      </w:r>
      <w:r w:rsidR="00E4617B">
        <w:rPr>
          <w:rFonts w:ascii="Times New Roman" w:hAnsi="Times New Roman" w:cs="Times New Roman"/>
          <w:sz w:val="24"/>
          <w:szCs w:val="24"/>
        </w:rPr>
        <w:t>; l</w:t>
      </w:r>
      <w:r w:rsidR="0061294F">
        <w:rPr>
          <w:rFonts w:ascii="Times New Roman" w:hAnsi="Times New Roman" w:cs="Times New Roman"/>
          <w:sz w:val="24"/>
          <w:szCs w:val="24"/>
        </w:rPr>
        <w:t>ocal share of funding for K-12 in 200</w:t>
      </w:r>
      <w:r w:rsidR="000056E8">
        <w:rPr>
          <w:rFonts w:ascii="Times New Roman" w:hAnsi="Times New Roman" w:cs="Times New Roman"/>
          <w:sz w:val="24"/>
          <w:szCs w:val="24"/>
        </w:rPr>
        <w:t>6</w:t>
      </w:r>
      <w:r w:rsidR="0061294F">
        <w:rPr>
          <w:rFonts w:ascii="Times New Roman" w:hAnsi="Times New Roman" w:cs="Times New Roman"/>
          <w:sz w:val="24"/>
          <w:szCs w:val="24"/>
        </w:rPr>
        <w:t xml:space="preserve"> was </w:t>
      </w:r>
      <w:r w:rsidR="000056E8">
        <w:rPr>
          <w:rFonts w:ascii="Times New Roman" w:hAnsi="Times New Roman" w:cs="Times New Roman"/>
          <w:sz w:val="24"/>
          <w:szCs w:val="24"/>
        </w:rPr>
        <w:t>47.8</w:t>
      </w:r>
      <w:r w:rsidR="0061294F">
        <w:rPr>
          <w:rFonts w:ascii="Times New Roman" w:hAnsi="Times New Roman" w:cs="Times New Roman"/>
          <w:sz w:val="24"/>
          <w:szCs w:val="24"/>
        </w:rPr>
        <w:t xml:space="preserve"> percent in Georgia com</w:t>
      </w:r>
      <w:r w:rsidR="000056E8">
        <w:rPr>
          <w:rFonts w:ascii="Times New Roman" w:hAnsi="Times New Roman" w:cs="Times New Roman"/>
          <w:sz w:val="24"/>
          <w:szCs w:val="24"/>
        </w:rPr>
        <w:t>pared to 43.7</w:t>
      </w:r>
      <w:r w:rsidR="0061294F">
        <w:rPr>
          <w:rFonts w:ascii="Times New Roman" w:hAnsi="Times New Roman" w:cs="Times New Roman"/>
          <w:sz w:val="24"/>
          <w:szCs w:val="24"/>
        </w:rPr>
        <w:t xml:space="preserve"> percent for the U.S.</w:t>
      </w:r>
      <w:r w:rsidR="00E4617B">
        <w:rPr>
          <w:rFonts w:ascii="Times New Roman" w:hAnsi="Times New Roman" w:cs="Times New Roman"/>
          <w:sz w:val="24"/>
          <w:szCs w:val="24"/>
        </w:rPr>
        <w:t>; i</w:t>
      </w:r>
      <w:r w:rsidR="006D7450">
        <w:rPr>
          <w:rFonts w:ascii="Times New Roman" w:hAnsi="Times New Roman" w:cs="Times New Roman"/>
          <w:sz w:val="24"/>
          <w:szCs w:val="24"/>
        </w:rPr>
        <w:t>n 2006, p</w:t>
      </w:r>
      <w:r w:rsidR="000056E8">
        <w:rPr>
          <w:rFonts w:ascii="Times New Roman" w:hAnsi="Times New Roman" w:cs="Times New Roman"/>
          <w:sz w:val="24"/>
          <w:szCs w:val="24"/>
        </w:rPr>
        <w:t>roperty tax</w:t>
      </w:r>
      <w:r w:rsidR="00E4617B">
        <w:rPr>
          <w:rFonts w:ascii="Times New Roman" w:hAnsi="Times New Roman" w:cs="Times New Roman"/>
          <w:sz w:val="24"/>
          <w:szCs w:val="24"/>
        </w:rPr>
        <w:t xml:space="preserve"> revene</w:t>
      </w:r>
      <w:r w:rsidR="000056E8">
        <w:rPr>
          <w:rFonts w:ascii="Times New Roman" w:hAnsi="Times New Roman" w:cs="Times New Roman"/>
          <w:sz w:val="24"/>
          <w:szCs w:val="24"/>
        </w:rPr>
        <w:t xml:space="preserve"> </w:t>
      </w:r>
      <w:r w:rsidR="00E4617B">
        <w:rPr>
          <w:rFonts w:ascii="Times New Roman" w:hAnsi="Times New Roman" w:cs="Times New Roman"/>
          <w:sz w:val="24"/>
          <w:szCs w:val="24"/>
        </w:rPr>
        <w:t xml:space="preserve">as a share of state and local tax revenue was 28.7 percent for Georgia and 30.8 percent for the U.S.  </w:t>
      </w:r>
      <w:r w:rsidR="006775C9">
        <w:rPr>
          <w:rFonts w:ascii="Times New Roman" w:hAnsi="Times New Roman" w:cs="Times New Roman"/>
          <w:sz w:val="24"/>
          <w:szCs w:val="24"/>
        </w:rPr>
        <w:t xml:space="preserve">Of some note, </w:t>
      </w:r>
      <w:r w:rsidR="00E4617B">
        <w:rPr>
          <w:rFonts w:ascii="Times New Roman" w:hAnsi="Times New Roman" w:cs="Times New Roman"/>
          <w:sz w:val="24"/>
          <w:szCs w:val="24"/>
        </w:rPr>
        <w:t>Georgia was hit hard by the Great Recession</w:t>
      </w:r>
      <w:r w:rsidR="00C754BD">
        <w:rPr>
          <w:rFonts w:ascii="Times New Roman" w:hAnsi="Times New Roman" w:cs="Times New Roman"/>
          <w:sz w:val="24"/>
          <w:szCs w:val="24"/>
        </w:rPr>
        <w:t xml:space="preserve">; </w:t>
      </w:r>
      <w:r w:rsidR="00E4617B">
        <w:rPr>
          <w:rFonts w:ascii="Times New Roman" w:hAnsi="Times New Roman" w:cs="Times New Roman"/>
          <w:sz w:val="24"/>
          <w:szCs w:val="24"/>
        </w:rPr>
        <w:t xml:space="preserve">Georgia’s unemployment rate went from 4.7 percent in 2006 to 10.2 percent in 2010 while the U.S. unemployment rate went from 4.6 percent to 9.6 percent. </w:t>
      </w:r>
    </w:p>
    <w:p w:rsidR="00A21825" w:rsidRDefault="00516887" w:rsidP="00865F57">
      <w:pPr>
        <w:autoSpaceDE w:val="0"/>
        <w:autoSpaceDN w:val="0"/>
        <w:adjustRightInd w:val="0"/>
        <w:spacing w:after="0" w:line="480" w:lineRule="auto"/>
        <w:ind w:firstLine="720"/>
        <w:rPr>
          <w:rFonts w:ascii="Times New Roman" w:hAnsi="Times New Roman" w:cs="Times New Roman"/>
          <w:sz w:val="24"/>
          <w:szCs w:val="24"/>
        </w:rPr>
      </w:pPr>
      <w:r w:rsidRPr="00516887">
        <w:rPr>
          <w:rFonts w:ascii="Times New Roman" w:hAnsi="Times New Roman" w:cs="Times New Roman"/>
          <w:sz w:val="24"/>
          <w:szCs w:val="24"/>
        </w:rPr>
        <w:t xml:space="preserve">We examine detailed information on property tax assessments and property tax rates for local school districts in the State of Georgia, focusing on the impact of foreclosures (and other factors) on </w:t>
      </w:r>
      <w:r w:rsidR="00AD5CD0">
        <w:rPr>
          <w:rFonts w:ascii="Times New Roman" w:hAnsi="Times New Roman" w:cs="Times New Roman"/>
          <w:sz w:val="24"/>
          <w:szCs w:val="24"/>
        </w:rPr>
        <w:t>the property tax base</w:t>
      </w:r>
      <w:r w:rsidR="00C754BD">
        <w:rPr>
          <w:rFonts w:ascii="Times New Roman" w:hAnsi="Times New Roman" w:cs="Times New Roman"/>
          <w:sz w:val="24"/>
          <w:szCs w:val="24"/>
        </w:rPr>
        <w:t>,</w:t>
      </w:r>
      <w:r w:rsidR="002B5E91">
        <w:rPr>
          <w:rFonts w:ascii="Times New Roman" w:hAnsi="Times New Roman" w:cs="Times New Roman"/>
          <w:sz w:val="24"/>
          <w:szCs w:val="24"/>
        </w:rPr>
        <w:t xml:space="preserve"> levy</w:t>
      </w:r>
      <w:r w:rsidR="00A21825">
        <w:rPr>
          <w:rFonts w:ascii="Times New Roman" w:hAnsi="Times New Roman" w:cs="Times New Roman"/>
          <w:sz w:val="24"/>
          <w:szCs w:val="24"/>
        </w:rPr>
        <w:t>,</w:t>
      </w:r>
      <w:r w:rsidR="002B5E91">
        <w:rPr>
          <w:rFonts w:ascii="Times New Roman" w:hAnsi="Times New Roman" w:cs="Times New Roman"/>
          <w:sz w:val="24"/>
          <w:szCs w:val="24"/>
        </w:rPr>
        <w:t xml:space="preserve"> and</w:t>
      </w:r>
      <w:r w:rsidR="00A21825">
        <w:rPr>
          <w:rFonts w:ascii="Times New Roman" w:hAnsi="Times New Roman" w:cs="Times New Roman"/>
          <w:sz w:val="24"/>
          <w:szCs w:val="24"/>
        </w:rPr>
        <w:t xml:space="preserve"> </w:t>
      </w:r>
      <w:r w:rsidRPr="00516887">
        <w:rPr>
          <w:rFonts w:ascii="Times New Roman" w:hAnsi="Times New Roman" w:cs="Times New Roman"/>
          <w:sz w:val="24"/>
          <w:szCs w:val="24"/>
        </w:rPr>
        <w:t xml:space="preserve">revenue.  </w:t>
      </w:r>
      <w:r w:rsidRPr="00CB0721">
        <w:rPr>
          <w:rFonts w:ascii="Times New Roman" w:hAnsi="Times New Roman" w:cs="Times New Roman"/>
          <w:sz w:val="24"/>
          <w:szCs w:val="24"/>
        </w:rPr>
        <w:t xml:space="preserve">Our empirical </w:t>
      </w:r>
      <w:r w:rsidR="00AD5CD0" w:rsidRPr="00CB0721">
        <w:rPr>
          <w:rFonts w:ascii="Times New Roman" w:hAnsi="Times New Roman" w:cs="Times New Roman"/>
          <w:sz w:val="24"/>
          <w:szCs w:val="24"/>
        </w:rPr>
        <w:t xml:space="preserve">analysis </w:t>
      </w:r>
      <w:r w:rsidRPr="00CB0721">
        <w:rPr>
          <w:rFonts w:ascii="Times New Roman" w:hAnsi="Times New Roman" w:cs="Times New Roman"/>
          <w:sz w:val="24"/>
          <w:szCs w:val="24"/>
        </w:rPr>
        <w:t>indicates</w:t>
      </w:r>
      <w:r w:rsidR="00A21825">
        <w:rPr>
          <w:rFonts w:ascii="Times New Roman" w:hAnsi="Times New Roman" w:cs="Times New Roman"/>
          <w:sz w:val="24"/>
          <w:szCs w:val="24"/>
        </w:rPr>
        <w:t xml:space="preserve"> that</w:t>
      </w:r>
      <w:r w:rsidR="00883324">
        <w:rPr>
          <w:rFonts w:ascii="Times New Roman" w:hAnsi="Times New Roman" w:cs="Times New Roman"/>
          <w:sz w:val="24"/>
          <w:szCs w:val="24"/>
        </w:rPr>
        <w:t xml:space="preserve"> larger increases in personal income per capita, in population</w:t>
      </w:r>
      <w:r w:rsidR="00A21825">
        <w:rPr>
          <w:rFonts w:ascii="Times New Roman" w:hAnsi="Times New Roman" w:cs="Times New Roman"/>
          <w:sz w:val="24"/>
          <w:szCs w:val="24"/>
        </w:rPr>
        <w:t>,</w:t>
      </w:r>
      <w:r w:rsidR="00883324">
        <w:rPr>
          <w:rFonts w:ascii="Times New Roman" w:hAnsi="Times New Roman" w:cs="Times New Roman"/>
          <w:sz w:val="24"/>
          <w:szCs w:val="24"/>
        </w:rPr>
        <w:t xml:space="preserve"> and </w:t>
      </w:r>
      <w:r w:rsidR="00A21825">
        <w:rPr>
          <w:rFonts w:ascii="Times New Roman" w:hAnsi="Times New Roman" w:cs="Times New Roman"/>
          <w:sz w:val="24"/>
          <w:szCs w:val="24"/>
        </w:rPr>
        <w:t xml:space="preserve">in </w:t>
      </w:r>
      <w:r w:rsidR="00883324">
        <w:rPr>
          <w:rFonts w:ascii="Times New Roman" w:hAnsi="Times New Roman" w:cs="Times New Roman"/>
          <w:sz w:val="24"/>
          <w:szCs w:val="24"/>
        </w:rPr>
        <w:t>employment all positively and statistically significant</w:t>
      </w:r>
      <w:r w:rsidR="00C754BD">
        <w:rPr>
          <w:rFonts w:ascii="Times New Roman" w:hAnsi="Times New Roman" w:cs="Times New Roman"/>
          <w:sz w:val="24"/>
          <w:szCs w:val="24"/>
        </w:rPr>
        <w:t>ly</w:t>
      </w:r>
      <w:r w:rsidR="00883324">
        <w:rPr>
          <w:rFonts w:ascii="Times New Roman" w:hAnsi="Times New Roman" w:cs="Times New Roman"/>
          <w:sz w:val="24"/>
          <w:szCs w:val="24"/>
        </w:rPr>
        <w:t xml:space="preserve"> affect the percentage change in the </w:t>
      </w:r>
      <w:r w:rsidR="00C754BD">
        <w:rPr>
          <w:rFonts w:ascii="Times New Roman" w:hAnsi="Times New Roman" w:cs="Times New Roman"/>
          <w:sz w:val="24"/>
          <w:szCs w:val="24"/>
        </w:rPr>
        <w:t xml:space="preserve">tax </w:t>
      </w:r>
      <w:r w:rsidR="00A21825">
        <w:rPr>
          <w:rFonts w:ascii="Times New Roman" w:hAnsi="Times New Roman" w:cs="Times New Roman"/>
          <w:sz w:val="24"/>
          <w:szCs w:val="24"/>
        </w:rPr>
        <w:t xml:space="preserve">base; importantly, our results also </w:t>
      </w:r>
      <w:r w:rsidR="00883324">
        <w:rPr>
          <w:rFonts w:ascii="Times New Roman" w:hAnsi="Times New Roman" w:cs="Times New Roman"/>
          <w:sz w:val="24"/>
          <w:szCs w:val="24"/>
        </w:rPr>
        <w:t>show significant n</w:t>
      </w:r>
      <w:r w:rsidR="00A21825">
        <w:rPr>
          <w:rFonts w:ascii="Times New Roman" w:hAnsi="Times New Roman" w:cs="Times New Roman"/>
          <w:sz w:val="24"/>
          <w:szCs w:val="24"/>
        </w:rPr>
        <w:t>egative effects of foreclosures</w:t>
      </w:r>
      <w:r w:rsidR="00883324">
        <w:rPr>
          <w:rFonts w:ascii="Times New Roman" w:hAnsi="Times New Roman" w:cs="Times New Roman"/>
          <w:sz w:val="24"/>
          <w:szCs w:val="24"/>
        </w:rPr>
        <w:t>.</w:t>
      </w:r>
      <w:r w:rsidR="00A21825">
        <w:rPr>
          <w:rFonts w:ascii="Times New Roman" w:hAnsi="Times New Roman" w:cs="Times New Roman"/>
          <w:sz w:val="24"/>
          <w:szCs w:val="24"/>
        </w:rPr>
        <w:t xml:space="preserve"> We also estimate regressions to see whether foreclosure activity affects the property tax levy and property tax revenues, with other factors (e.g., income, population, and employment growth)</w:t>
      </w:r>
      <w:r w:rsidR="002B5E91">
        <w:rPr>
          <w:rFonts w:ascii="Times New Roman" w:hAnsi="Times New Roman" w:cs="Times New Roman"/>
          <w:sz w:val="24"/>
          <w:szCs w:val="24"/>
        </w:rPr>
        <w:t xml:space="preserve"> held constant</w:t>
      </w:r>
      <w:r w:rsidR="00A21825">
        <w:rPr>
          <w:rFonts w:ascii="Times New Roman" w:hAnsi="Times New Roman" w:cs="Times New Roman"/>
          <w:sz w:val="24"/>
          <w:szCs w:val="24"/>
        </w:rPr>
        <w:t>.  Again, we find that foreclosure activity has</w:t>
      </w:r>
      <w:r w:rsidR="00865F57">
        <w:rPr>
          <w:rFonts w:ascii="Times New Roman" w:hAnsi="Times New Roman" w:cs="Times New Roman"/>
          <w:sz w:val="24"/>
          <w:szCs w:val="24"/>
        </w:rPr>
        <w:t xml:space="preserve"> significant impacts; f</w:t>
      </w:r>
      <w:r w:rsidR="00A21825">
        <w:rPr>
          <w:rFonts w:ascii="Times New Roman" w:hAnsi="Times New Roman" w:cs="Times New Roman"/>
          <w:sz w:val="24"/>
          <w:szCs w:val="24"/>
        </w:rPr>
        <w:t>or example, a rise in foreclosures is associated with a reduction in the levy, and foreclosures also have a negative impact on revenues</w:t>
      </w:r>
      <w:r w:rsidR="002B5E91">
        <w:rPr>
          <w:rFonts w:ascii="Times New Roman" w:hAnsi="Times New Roman" w:cs="Times New Roman"/>
          <w:sz w:val="24"/>
          <w:szCs w:val="24"/>
        </w:rPr>
        <w:t>, after controlling for changes in the base and other factors</w:t>
      </w:r>
      <w:r w:rsidR="00A21825">
        <w:rPr>
          <w:rFonts w:ascii="Times New Roman" w:hAnsi="Times New Roman" w:cs="Times New Roman"/>
          <w:sz w:val="24"/>
          <w:szCs w:val="24"/>
        </w:rPr>
        <w:t>.</w:t>
      </w:r>
      <w:r w:rsidR="00865F57">
        <w:rPr>
          <w:rFonts w:ascii="Times New Roman" w:hAnsi="Times New Roman" w:cs="Times New Roman"/>
          <w:sz w:val="24"/>
          <w:szCs w:val="24"/>
        </w:rPr>
        <w:t xml:space="preserve">  Overall, we find that foreclosure activity had significant impacts on </w:t>
      </w:r>
      <w:r w:rsidR="00C754BD">
        <w:rPr>
          <w:rFonts w:ascii="Times New Roman" w:hAnsi="Times New Roman" w:cs="Times New Roman"/>
          <w:sz w:val="24"/>
          <w:szCs w:val="24"/>
        </w:rPr>
        <w:t>the property tax base</w:t>
      </w:r>
      <w:r w:rsidR="00865F57">
        <w:rPr>
          <w:rFonts w:ascii="Times New Roman" w:hAnsi="Times New Roman" w:cs="Times New Roman"/>
          <w:sz w:val="24"/>
          <w:szCs w:val="24"/>
        </w:rPr>
        <w:t xml:space="preserve">, on </w:t>
      </w:r>
      <w:r w:rsidR="00C754BD">
        <w:rPr>
          <w:rFonts w:ascii="Times New Roman" w:hAnsi="Times New Roman" w:cs="Times New Roman"/>
          <w:sz w:val="24"/>
          <w:szCs w:val="24"/>
        </w:rPr>
        <w:t xml:space="preserve">property tax </w:t>
      </w:r>
      <w:r w:rsidR="002B5E91">
        <w:rPr>
          <w:rFonts w:ascii="Times New Roman" w:hAnsi="Times New Roman" w:cs="Times New Roman"/>
          <w:sz w:val="24"/>
          <w:szCs w:val="24"/>
        </w:rPr>
        <w:t>levies</w:t>
      </w:r>
      <w:r w:rsidR="00865F57">
        <w:rPr>
          <w:rFonts w:ascii="Times New Roman" w:hAnsi="Times New Roman" w:cs="Times New Roman"/>
          <w:sz w:val="24"/>
          <w:szCs w:val="24"/>
        </w:rPr>
        <w:t>, and on property tax revenues.</w:t>
      </w:r>
    </w:p>
    <w:p w:rsidR="0070486A" w:rsidRDefault="0070486A" w:rsidP="00516887">
      <w:pPr>
        <w:autoSpaceDE w:val="0"/>
        <w:autoSpaceDN w:val="0"/>
        <w:adjustRightInd w:val="0"/>
        <w:spacing w:after="0" w:line="480" w:lineRule="auto"/>
        <w:ind w:firstLine="720"/>
        <w:rPr>
          <w:rFonts w:ascii="Times New Roman" w:hAnsi="Times New Roman" w:cs="Times New Roman"/>
          <w:sz w:val="24"/>
          <w:szCs w:val="24"/>
        </w:rPr>
      </w:pPr>
    </w:p>
    <w:p w:rsidR="00197294" w:rsidRPr="00197294" w:rsidRDefault="00197294" w:rsidP="00604D62">
      <w:pPr>
        <w:keepNext/>
        <w:spacing w:after="0" w:line="480" w:lineRule="auto"/>
        <w:rPr>
          <w:rFonts w:ascii="Times New Roman" w:hAnsi="Times New Roman" w:cs="Times New Roman"/>
          <w:b/>
          <w:sz w:val="24"/>
          <w:szCs w:val="24"/>
          <w:u w:val="single"/>
        </w:rPr>
      </w:pPr>
      <w:r w:rsidRPr="00197294">
        <w:rPr>
          <w:rFonts w:ascii="Times New Roman" w:hAnsi="Times New Roman" w:cs="Times New Roman"/>
          <w:b/>
          <w:sz w:val="24"/>
          <w:szCs w:val="24"/>
          <w:u w:val="single"/>
        </w:rPr>
        <w:t>I</w:t>
      </w:r>
      <w:r w:rsidR="00131B26">
        <w:rPr>
          <w:rFonts w:ascii="Times New Roman" w:hAnsi="Times New Roman" w:cs="Times New Roman"/>
          <w:b/>
          <w:sz w:val="24"/>
          <w:szCs w:val="24"/>
          <w:u w:val="single"/>
        </w:rPr>
        <w:t>I</w:t>
      </w:r>
      <w:r w:rsidRPr="00197294">
        <w:rPr>
          <w:rFonts w:ascii="Times New Roman" w:hAnsi="Times New Roman" w:cs="Times New Roman"/>
          <w:b/>
          <w:sz w:val="24"/>
          <w:szCs w:val="24"/>
          <w:u w:val="single"/>
        </w:rPr>
        <w:t xml:space="preserve">. </w:t>
      </w:r>
      <w:r w:rsidRPr="00197294">
        <w:rPr>
          <w:rFonts w:ascii="Times New Roman" w:hAnsi="Times New Roman" w:cs="Times New Roman"/>
          <w:b/>
          <w:smallCaps/>
          <w:sz w:val="24"/>
          <w:szCs w:val="24"/>
          <w:u w:val="single"/>
        </w:rPr>
        <w:t>Housing Prices</w:t>
      </w:r>
      <w:r w:rsidR="008A133F">
        <w:rPr>
          <w:rFonts w:ascii="Times New Roman" w:hAnsi="Times New Roman" w:cs="Times New Roman"/>
          <w:b/>
          <w:smallCaps/>
          <w:sz w:val="24"/>
          <w:szCs w:val="24"/>
          <w:u w:val="single"/>
        </w:rPr>
        <w:t>, Foreclosures,</w:t>
      </w:r>
      <w:r w:rsidRPr="00197294">
        <w:rPr>
          <w:rFonts w:ascii="Times New Roman" w:hAnsi="Times New Roman" w:cs="Times New Roman"/>
          <w:b/>
          <w:smallCaps/>
          <w:sz w:val="24"/>
          <w:szCs w:val="24"/>
          <w:u w:val="single"/>
        </w:rPr>
        <w:t xml:space="preserve"> and School District Property Tax Revenues</w:t>
      </w:r>
    </w:p>
    <w:p w:rsidR="00197294" w:rsidRPr="00197294" w:rsidRDefault="00197294" w:rsidP="00197294">
      <w:pPr>
        <w:spacing w:after="0" w:line="480" w:lineRule="auto"/>
        <w:rPr>
          <w:rFonts w:ascii="Times New Roman" w:hAnsi="Times New Roman" w:cs="Times New Roman"/>
          <w:sz w:val="24"/>
          <w:szCs w:val="24"/>
        </w:rPr>
      </w:pPr>
      <w:r w:rsidRPr="00197294">
        <w:rPr>
          <w:rFonts w:ascii="Times New Roman" w:hAnsi="Times New Roman" w:cs="Times New Roman"/>
          <w:sz w:val="24"/>
          <w:szCs w:val="24"/>
        </w:rPr>
        <w:tab/>
        <w:t xml:space="preserve">Local governments in the United States typically rely on several sources of own-source revenues, including individual income taxes, general sales taxes, specific excise taxes, fees and </w:t>
      </w:r>
      <w:r w:rsidRPr="00197294">
        <w:rPr>
          <w:rFonts w:ascii="Times New Roman" w:hAnsi="Times New Roman" w:cs="Times New Roman"/>
          <w:sz w:val="24"/>
          <w:szCs w:val="24"/>
        </w:rPr>
        <w:lastRenderedPageBreak/>
        <w:t>charges, and local property taxes.  Of these, the dominant source is by far the property tax.  In 2011, local property taxes accounted for roughly three-fourths of total local government tax revenues and for nearly one-half of total local own-source revenues (including fees and charges).</w:t>
      </w:r>
      <w:r w:rsidRPr="00197294">
        <w:rPr>
          <w:rStyle w:val="FootnoteReference"/>
          <w:rFonts w:ascii="Times New Roman" w:hAnsi="Times New Roman" w:cs="Times New Roman"/>
          <w:sz w:val="24"/>
          <w:szCs w:val="24"/>
        </w:rPr>
        <w:footnoteReference w:id="2"/>
      </w:r>
    </w:p>
    <w:p w:rsidR="002B4A3B" w:rsidRDefault="00197294" w:rsidP="00197294">
      <w:pPr>
        <w:spacing w:after="0" w:line="480" w:lineRule="auto"/>
        <w:rPr>
          <w:rFonts w:ascii="Times New Roman" w:hAnsi="Times New Roman" w:cs="Times New Roman"/>
          <w:sz w:val="24"/>
          <w:szCs w:val="24"/>
        </w:rPr>
      </w:pPr>
      <w:r w:rsidRPr="00197294">
        <w:rPr>
          <w:rFonts w:ascii="Times New Roman" w:hAnsi="Times New Roman" w:cs="Times New Roman"/>
          <w:sz w:val="24"/>
          <w:szCs w:val="24"/>
        </w:rPr>
        <w:tab/>
        <w:t xml:space="preserve">The Great Recession had serious and negative effects on the level of economic activity, and these effects have in turn depressed </w:t>
      </w:r>
      <w:r w:rsidR="002B4A3B">
        <w:rPr>
          <w:rFonts w:ascii="Times New Roman" w:hAnsi="Times New Roman" w:cs="Times New Roman"/>
          <w:sz w:val="24"/>
          <w:szCs w:val="24"/>
        </w:rPr>
        <w:t xml:space="preserve">tax </w:t>
      </w:r>
      <w:r w:rsidRPr="00197294">
        <w:rPr>
          <w:rFonts w:ascii="Times New Roman" w:hAnsi="Times New Roman" w:cs="Times New Roman"/>
          <w:sz w:val="24"/>
          <w:szCs w:val="24"/>
        </w:rPr>
        <w:t>revenues</w:t>
      </w:r>
      <w:r w:rsidR="002B4A3B">
        <w:rPr>
          <w:rFonts w:ascii="Times New Roman" w:hAnsi="Times New Roman" w:cs="Times New Roman"/>
          <w:sz w:val="24"/>
          <w:szCs w:val="24"/>
        </w:rPr>
        <w:t>, especially for</w:t>
      </w:r>
      <w:r w:rsidRPr="00197294">
        <w:rPr>
          <w:rFonts w:ascii="Times New Roman" w:hAnsi="Times New Roman" w:cs="Times New Roman"/>
          <w:sz w:val="24"/>
          <w:szCs w:val="24"/>
        </w:rPr>
        <w:t xml:space="preserve"> taxes whose bases vary closely with economic activity, like income and sales taxes</w:t>
      </w:r>
      <w:r w:rsidR="002B4A3B" w:rsidRPr="002B4A3B">
        <w:rPr>
          <w:rFonts w:ascii="Times New Roman" w:hAnsi="Times New Roman" w:cs="Times New Roman"/>
          <w:sz w:val="24"/>
          <w:szCs w:val="24"/>
        </w:rPr>
        <w:t xml:space="preserve"> </w:t>
      </w:r>
      <w:r w:rsidR="002B4A3B">
        <w:rPr>
          <w:rFonts w:ascii="Times New Roman" w:hAnsi="Times New Roman" w:cs="Times New Roman"/>
          <w:sz w:val="24"/>
          <w:szCs w:val="24"/>
        </w:rPr>
        <w:t>(</w:t>
      </w:r>
      <w:r w:rsidR="002B4A3B" w:rsidRPr="00197294">
        <w:rPr>
          <w:rFonts w:ascii="Times New Roman" w:hAnsi="Times New Roman" w:cs="Times New Roman"/>
          <w:sz w:val="24"/>
          <w:szCs w:val="24"/>
        </w:rPr>
        <w:t>Anderson, 20</w:t>
      </w:r>
      <w:r w:rsidR="002B4A3B">
        <w:rPr>
          <w:rFonts w:ascii="Times New Roman" w:hAnsi="Times New Roman" w:cs="Times New Roman"/>
          <w:sz w:val="24"/>
          <w:szCs w:val="24"/>
        </w:rPr>
        <w:t>10; Mikesell and Mullins, 2010; Boyd, 2010)</w:t>
      </w:r>
      <w:r w:rsidRPr="00197294">
        <w:rPr>
          <w:rFonts w:ascii="Times New Roman" w:hAnsi="Times New Roman" w:cs="Times New Roman"/>
          <w:sz w:val="24"/>
          <w:szCs w:val="24"/>
        </w:rPr>
        <w:t>.  However, an important feature of the property tax is that its base (</w:t>
      </w:r>
      <w:r w:rsidR="002B4A3B">
        <w:rPr>
          <w:rFonts w:ascii="Times New Roman" w:hAnsi="Times New Roman" w:cs="Times New Roman"/>
          <w:sz w:val="24"/>
          <w:szCs w:val="24"/>
        </w:rPr>
        <w:t>i.e.,</w:t>
      </w:r>
      <w:r w:rsidRPr="00197294">
        <w:rPr>
          <w:rFonts w:ascii="Times New Roman" w:hAnsi="Times New Roman" w:cs="Times New Roman"/>
          <w:sz w:val="24"/>
          <w:szCs w:val="24"/>
        </w:rPr>
        <w:t xml:space="preserve"> assessed value) does not automatically change over time</w:t>
      </w:r>
      <w:r w:rsidR="002B4A3B">
        <w:rPr>
          <w:rFonts w:ascii="Times New Roman" w:hAnsi="Times New Roman" w:cs="Times New Roman"/>
          <w:sz w:val="24"/>
          <w:szCs w:val="24"/>
        </w:rPr>
        <w:t xml:space="preserve"> since</w:t>
      </w:r>
      <w:r w:rsidR="00CF790F">
        <w:rPr>
          <w:rFonts w:ascii="Times New Roman" w:hAnsi="Times New Roman" w:cs="Times New Roman"/>
          <w:sz w:val="24"/>
          <w:szCs w:val="24"/>
        </w:rPr>
        <w:t>,</w:t>
      </w:r>
      <w:r w:rsidR="002B4A3B" w:rsidRPr="002B4A3B">
        <w:rPr>
          <w:rFonts w:ascii="Times New Roman" w:hAnsi="Times New Roman" w:cs="Times New Roman"/>
          <w:sz w:val="24"/>
          <w:szCs w:val="24"/>
        </w:rPr>
        <w:t xml:space="preserve"> </w:t>
      </w:r>
      <w:r w:rsidR="002B4A3B" w:rsidRPr="00197294">
        <w:rPr>
          <w:rFonts w:ascii="Times New Roman" w:hAnsi="Times New Roman" w:cs="Times New Roman"/>
          <w:sz w:val="24"/>
          <w:szCs w:val="24"/>
        </w:rPr>
        <w:t>in the absence of a formal and deliberate change in assessment</w:t>
      </w:r>
      <w:r w:rsidR="00CF790F">
        <w:rPr>
          <w:rFonts w:ascii="Times New Roman" w:hAnsi="Times New Roman" w:cs="Times New Roman"/>
          <w:sz w:val="24"/>
          <w:szCs w:val="24"/>
        </w:rPr>
        <w:t>,</w:t>
      </w:r>
      <w:r w:rsidR="002B4A3B">
        <w:rPr>
          <w:rFonts w:ascii="Times New Roman" w:hAnsi="Times New Roman" w:cs="Times New Roman"/>
          <w:sz w:val="24"/>
          <w:szCs w:val="24"/>
        </w:rPr>
        <w:t xml:space="preserve"> </w:t>
      </w:r>
      <w:r w:rsidRPr="00197294">
        <w:rPr>
          <w:rFonts w:ascii="Times New Roman" w:hAnsi="Times New Roman" w:cs="Times New Roman"/>
          <w:sz w:val="24"/>
          <w:szCs w:val="24"/>
        </w:rPr>
        <w:t xml:space="preserve">any </w:t>
      </w:r>
      <w:r w:rsidR="002B4A3B">
        <w:rPr>
          <w:rFonts w:ascii="Times New Roman" w:hAnsi="Times New Roman" w:cs="Times New Roman"/>
          <w:sz w:val="24"/>
          <w:szCs w:val="24"/>
        </w:rPr>
        <w:t>change</w:t>
      </w:r>
      <w:r w:rsidRPr="00197294">
        <w:rPr>
          <w:rFonts w:ascii="Times New Roman" w:hAnsi="Times New Roman" w:cs="Times New Roman"/>
          <w:sz w:val="24"/>
          <w:szCs w:val="24"/>
        </w:rPr>
        <w:t xml:space="preserve"> in the market value of housing does not necessarily translate into a</w:t>
      </w:r>
      <w:r>
        <w:rPr>
          <w:rFonts w:ascii="Times New Roman" w:hAnsi="Times New Roman" w:cs="Times New Roman"/>
          <w:sz w:val="24"/>
          <w:szCs w:val="24"/>
        </w:rPr>
        <w:t xml:space="preserve"> </w:t>
      </w:r>
      <w:r w:rsidR="002B4A3B">
        <w:rPr>
          <w:rFonts w:ascii="Times New Roman" w:hAnsi="Times New Roman" w:cs="Times New Roman"/>
          <w:sz w:val="24"/>
          <w:szCs w:val="24"/>
        </w:rPr>
        <w:t>change</w:t>
      </w:r>
      <w:r w:rsidRPr="00197294">
        <w:rPr>
          <w:rFonts w:ascii="Times New Roman" w:hAnsi="Times New Roman" w:cs="Times New Roman"/>
          <w:sz w:val="24"/>
          <w:szCs w:val="24"/>
        </w:rPr>
        <w:t xml:space="preserve"> in assessed value</w:t>
      </w:r>
      <w:r w:rsidR="002B4A3B">
        <w:rPr>
          <w:rFonts w:ascii="Times New Roman" w:hAnsi="Times New Roman" w:cs="Times New Roman"/>
          <w:sz w:val="24"/>
          <w:szCs w:val="24"/>
        </w:rPr>
        <w:t>.</w:t>
      </w:r>
      <w:r w:rsidRPr="00197294">
        <w:rPr>
          <w:rFonts w:ascii="Times New Roman" w:hAnsi="Times New Roman" w:cs="Times New Roman"/>
          <w:sz w:val="24"/>
          <w:szCs w:val="24"/>
        </w:rPr>
        <w:t xml:space="preserve">  Lags in these re-assessments, combined with caps on the amount by which assessed values can be changed in any given year and with deliberate changes in millage rates, mean that changes in the overall level of economic activity that may affect housing values may not actually affect property tax revenues in any immediate or obvious way.</w:t>
      </w:r>
      <w:r w:rsidRPr="00197294">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197294" w:rsidRDefault="002B4A3B" w:rsidP="001972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97294" w:rsidRPr="00197294">
        <w:rPr>
          <w:rFonts w:ascii="Times New Roman" w:hAnsi="Times New Roman" w:cs="Times New Roman"/>
          <w:sz w:val="24"/>
          <w:szCs w:val="24"/>
        </w:rPr>
        <w:t xml:space="preserve">here are several channels by which </w:t>
      </w:r>
      <w:r w:rsidR="008A133F">
        <w:rPr>
          <w:rFonts w:ascii="Times New Roman" w:hAnsi="Times New Roman" w:cs="Times New Roman"/>
          <w:sz w:val="24"/>
          <w:szCs w:val="24"/>
        </w:rPr>
        <w:t xml:space="preserve">changes in the housing market, together with </w:t>
      </w:r>
      <w:r w:rsidR="00197294" w:rsidRPr="00197294">
        <w:rPr>
          <w:rFonts w:ascii="Times New Roman" w:hAnsi="Times New Roman" w:cs="Times New Roman"/>
          <w:sz w:val="24"/>
          <w:szCs w:val="24"/>
        </w:rPr>
        <w:t xml:space="preserve">changes in economic activity </w:t>
      </w:r>
      <w:r w:rsidR="008A133F">
        <w:rPr>
          <w:rFonts w:ascii="Times New Roman" w:hAnsi="Times New Roman" w:cs="Times New Roman"/>
          <w:sz w:val="24"/>
          <w:szCs w:val="24"/>
        </w:rPr>
        <w:t xml:space="preserve">that accompany these housing market factors, </w:t>
      </w:r>
      <w:r w:rsidR="00197294" w:rsidRPr="00197294">
        <w:rPr>
          <w:rFonts w:ascii="Times New Roman" w:hAnsi="Times New Roman" w:cs="Times New Roman"/>
          <w:sz w:val="24"/>
          <w:szCs w:val="24"/>
        </w:rPr>
        <w:t>may affect local government tax revenues (</w:t>
      </w:r>
      <w:r w:rsidR="00F21940">
        <w:rPr>
          <w:rFonts w:ascii="Times New Roman" w:hAnsi="Times New Roman" w:cs="Times New Roman"/>
          <w:sz w:val="24"/>
          <w:szCs w:val="24"/>
        </w:rPr>
        <w:t>Lutz, Molloy, and Shan, 2011</w:t>
      </w:r>
      <w:r w:rsidR="00197294" w:rsidRPr="00197294">
        <w:rPr>
          <w:rFonts w:ascii="Times New Roman" w:hAnsi="Times New Roman" w:cs="Times New Roman"/>
          <w:sz w:val="24"/>
          <w:szCs w:val="24"/>
        </w:rPr>
        <w:t xml:space="preserve">).  The most obvious is of course via the property tax,.  Other channels are more closely linked to economic activity.  Real estate transfer taxes depend upon the volume and the value of real estate transactions, although these taxes are of relatively little importance.  Less direct channels include those affected by declines in housing values.  For example, a decline in </w:t>
      </w:r>
      <w:r>
        <w:rPr>
          <w:rFonts w:ascii="Times New Roman" w:hAnsi="Times New Roman" w:cs="Times New Roman"/>
          <w:sz w:val="24"/>
          <w:szCs w:val="24"/>
        </w:rPr>
        <w:t xml:space="preserve">market </w:t>
      </w:r>
      <w:r w:rsidR="00197294" w:rsidRPr="00197294">
        <w:rPr>
          <w:rFonts w:ascii="Times New Roman" w:hAnsi="Times New Roman" w:cs="Times New Roman"/>
          <w:sz w:val="24"/>
          <w:szCs w:val="24"/>
        </w:rPr>
        <w:t xml:space="preserve">housing </w:t>
      </w:r>
      <w:r>
        <w:rPr>
          <w:rFonts w:ascii="Times New Roman" w:hAnsi="Times New Roman" w:cs="Times New Roman"/>
          <w:sz w:val="24"/>
          <w:szCs w:val="24"/>
        </w:rPr>
        <w:t>market</w:t>
      </w:r>
      <w:r w:rsidR="00197294" w:rsidRPr="00197294">
        <w:rPr>
          <w:rFonts w:ascii="Times New Roman" w:hAnsi="Times New Roman" w:cs="Times New Roman"/>
          <w:sz w:val="24"/>
          <w:szCs w:val="24"/>
        </w:rPr>
        <w:t xml:space="preserve"> may depress new housing construction, thereby reducing sales tax revenues generated by the materials used in construction</w:t>
      </w:r>
      <w:r>
        <w:rPr>
          <w:rFonts w:ascii="Times New Roman" w:hAnsi="Times New Roman" w:cs="Times New Roman"/>
          <w:sz w:val="24"/>
          <w:szCs w:val="24"/>
        </w:rPr>
        <w:t xml:space="preserve"> and by the furnishing for a new home</w:t>
      </w:r>
      <w:r w:rsidR="00197294" w:rsidRPr="00197294">
        <w:rPr>
          <w:rFonts w:ascii="Times New Roman" w:hAnsi="Times New Roman" w:cs="Times New Roman"/>
          <w:sz w:val="24"/>
          <w:szCs w:val="24"/>
        </w:rPr>
        <w:t xml:space="preserve">.  The decline in home construction and the resulting fall in employment may also reduce income taxes.  </w:t>
      </w:r>
      <w:r w:rsidR="00197294">
        <w:rPr>
          <w:rFonts w:ascii="Times New Roman" w:hAnsi="Times New Roman" w:cs="Times New Roman"/>
          <w:sz w:val="24"/>
          <w:szCs w:val="24"/>
        </w:rPr>
        <w:lastRenderedPageBreak/>
        <w:t>Finally, a</w:t>
      </w:r>
      <w:r w:rsidR="00197294" w:rsidRPr="00197294">
        <w:rPr>
          <w:rFonts w:ascii="Times New Roman" w:hAnsi="Times New Roman" w:cs="Times New Roman"/>
          <w:sz w:val="24"/>
          <w:szCs w:val="24"/>
        </w:rPr>
        <w:t xml:space="preserve"> decline in housing values may reduce consumer expenditures (and so sales tax revenues) via wealth effects.</w:t>
      </w:r>
      <w:r w:rsidR="00197294" w:rsidRPr="00197294">
        <w:rPr>
          <w:rStyle w:val="FootnoteReference"/>
          <w:rFonts w:ascii="Times New Roman" w:hAnsi="Times New Roman" w:cs="Times New Roman"/>
          <w:sz w:val="24"/>
          <w:szCs w:val="24"/>
        </w:rPr>
        <w:footnoteReference w:id="4"/>
      </w:r>
    </w:p>
    <w:p w:rsidR="00197294" w:rsidRPr="00197294" w:rsidRDefault="00197294" w:rsidP="00197294">
      <w:pPr>
        <w:spacing w:after="0" w:line="480" w:lineRule="auto"/>
        <w:ind w:firstLine="720"/>
        <w:rPr>
          <w:rFonts w:ascii="Times New Roman" w:hAnsi="Times New Roman" w:cs="Times New Roman"/>
          <w:sz w:val="24"/>
          <w:szCs w:val="24"/>
        </w:rPr>
      </w:pPr>
      <w:r w:rsidRPr="00197294">
        <w:rPr>
          <w:rFonts w:ascii="Times New Roman" w:hAnsi="Times New Roman" w:cs="Times New Roman"/>
          <w:sz w:val="24"/>
          <w:szCs w:val="24"/>
        </w:rPr>
        <w:t xml:space="preserve">As a general framework in which these channels might be modeled, consider a simple setting.  Suppose a local jurisdiction has multiple tax sources, each generating revenues defined as the product of a tax rate </w:t>
      </w:r>
      <w:r w:rsidRPr="00197294">
        <w:rPr>
          <w:rFonts w:ascii="Times New Roman" w:hAnsi="Times New Roman" w:cs="Times New Roman"/>
          <w:i/>
          <w:sz w:val="24"/>
          <w:szCs w:val="24"/>
        </w:rPr>
        <w:t>t</w:t>
      </w:r>
      <w:r w:rsidRPr="00197294">
        <w:rPr>
          <w:rFonts w:ascii="Times New Roman" w:hAnsi="Times New Roman" w:cs="Times New Roman"/>
          <w:sz w:val="24"/>
          <w:szCs w:val="24"/>
        </w:rPr>
        <w:t xml:space="preserve"> and a tax base </w:t>
      </w:r>
      <w:r w:rsidRPr="00197294">
        <w:rPr>
          <w:rFonts w:ascii="Times New Roman" w:hAnsi="Times New Roman" w:cs="Times New Roman"/>
          <w:i/>
          <w:sz w:val="24"/>
          <w:szCs w:val="24"/>
        </w:rPr>
        <w:t>B</w:t>
      </w:r>
      <w:r w:rsidRPr="00197294">
        <w:rPr>
          <w:rFonts w:ascii="Times New Roman" w:hAnsi="Times New Roman" w:cs="Times New Roman"/>
          <w:sz w:val="24"/>
          <w:szCs w:val="24"/>
        </w:rPr>
        <w:t xml:space="preserve">.  Denoting each </w:t>
      </w:r>
      <w:r w:rsidR="00CB0721">
        <w:rPr>
          <w:rFonts w:ascii="Times New Roman" w:hAnsi="Times New Roman" w:cs="Times New Roman"/>
          <w:sz w:val="24"/>
          <w:szCs w:val="24"/>
        </w:rPr>
        <w:t xml:space="preserve">tax source </w:t>
      </w:r>
      <w:r w:rsidRPr="00197294">
        <w:rPr>
          <w:rFonts w:ascii="Times New Roman" w:hAnsi="Times New Roman" w:cs="Times New Roman"/>
          <w:sz w:val="24"/>
          <w:szCs w:val="24"/>
        </w:rPr>
        <w:t xml:space="preserve">with a subscript </w:t>
      </w:r>
      <w:r w:rsidRPr="00197294">
        <w:rPr>
          <w:rFonts w:ascii="Times New Roman" w:hAnsi="Times New Roman" w:cs="Times New Roman"/>
          <w:i/>
          <w:sz w:val="24"/>
          <w:szCs w:val="24"/>
        </w:rPr>
        <w:t>i</w:t>
      </w:r>
      <w:r w:rsidRPr="00197294">
        <w:rPr>
          <w:rFonts w:ascii="Times New Roman" w:hAnsi="Times New Roman" w:cs="Times New Roman"/>
          <w:sz w:val="24"/>
          <w:szCs w:val="24"/>
        </w:rPr>
        <w:t xml:space="preserve">, then total revenues </w:t>
      </w:r>
      <w:r w:rsidRPr="00197294">
        <w:rPr>
          <w:rFonts w:ascii="Times New Roman" w:hAnsi="Times New Roman" w:cs="Times New Roman"/>
          <w:i/>
          <w:sz w:val="24"/>
          <w:szCs w:val="24"/>
        </w:rPr>
        <w:t>R</w:t>
      </w:r>
      <w:r w:rsidRPr="00197294">
        <w:rPr>
          <w:rFonts w:ascii="Times New Roman" w:hAnsi="Times New Roman" w:cs="Times New Roman"/>
          <w:sz w:val="24"/>
          <w:szCs w:val="24"/>
        </w:rPr>
        <w:t xml:space="preserve"> equal </w:t>
      </w:r>
      <w:r w:rsidRPr="00197294">
        <w:rPr>
          <w:rFonts w:ascii="Times New Roman" w:hAnsi="Times New Roman" w:cs="Times New Roman"/>
          <w:i/>
          <w:sz w:val="24"/>
          <w:szCs w:val="24"/>
        </w:rPr>
        <w:t>R=∑</w:t>
      </w:r>
      <w:r w:rsidRPr="00197294">
        <w:rPr>
          <w:rFonts w:ascii="Times New Roman" w:hAnsi="Times New Roman" w:cs="Times New Roman"/>
          <w:i/>
          <w:sz w:val="24"/>
          <w:szCs w:val="24"/>
          <w:vertAlign w:val="subscript"/>
        </w:rPr>
        <w:t>i</w:t>
      </w:r>
      <w:r w:rsidRPr="00197294">
        <w:rPr>
          <w:rFonts w:ascii="Times New Roman" w:hAnsi="Times New Roman" w:cs="Times New Roman"/>
          <w:i/>
          <w:sz w:val="24"/>
          <w:szCs w:val="24"/>
        </w:rPr>
        <w:t xml:space="preserve"> t</w:t>
      </w:r>
      <w:r w:rsidRPr="00197294">
        <w:rPr>
          <w:rFonts w:ascii="Times New Roman" w:hAnsi="Times New Roman" w:cs="Times New Roman"/>
          <w:i/>
          <w:sz w:val="24"/>
          <w:szCs w:val="24"/>
          <w:vertAlign w:val="subscript"/>
        </w:rPr>
        <w:t>i</w:t>
      </w:r>
      <w:r w:rsidRPr="00197294">
        <w:rPr>
          <w:rFonts w:ascii="Times New Roman" w:hAnsi="Times New Roman" w:cs="Times New Roman"/>
          <w:i/>
          <w:sz w:val="24"/>
          <w:szCs w:val="24"/>
        </w:rPr>
        <w:t xml:space="preserve"> B</w:t>
      </w:r>
      <w:r w:rsidRPr="00197294">
        <w:rPr>
          <w:rFonts w:ascii="Times New Roman" w:hAnsi="Times New Roman" w:cs="Times New Roman"/>
          <w:i/>
          <w:sz w:val="24"/>
          <w:szCs w:val="24"/>
          <w:vertAlign w:val="subscript"/>
        </w:rPr>
        <w:t>i</w:t>
      </w:r>
      <w:r w:rsidRPr="00197294">
        <w:rPr>
          <w:rFonts w:ascii="Times New Roman" w:hAnsi="Times New Roman" w:cs="Times New Roman"/>
          <w:sz w:val="24"/>
          <w:szCs w:val="24"/>
        </w:rPr>
        <w:t>.  Suppose now that either the tax rate or the tax base of each tax changes.  Then the percentage change in tax revenues equals:</w:t>
      </w:r>
    </w:p>
    <w:p w:rsidR="00197294" w:rsidRPr="00197294" w:rsidRDefault="00197294" w:rsidP="00197294">
      <w:pPr>
        <w:spacing w:after="0" w:line="480" w:lineRule="auto"/>
        <w:ind w:firstLine="720"/>
        <w:rPr>
          <w:rFonts w:ascii="Times New Roman" w:hAnsi="Times New Roman" w:cs="Times New Roman"/>
          <w:sz w:val="24"/>
          <w:szCs w:val="24"/>
        </w:rPr>
      </w:pPr>
      <w:r w:rsidRPr="00197294">
        <w:rPr>
          <w:rFonts w:ascii="Times New Roman" w:hAnsi="Times New Roman" w:cs="Times New Roman"/>
          <w:i/>
          <w:sz w:val="24"/>
          <w:szCs w:val="24"/>
        </w:rPr>
        <w:t>ΔR/R = ∑</w:t>
      </w:r>
      <w:r w:rsidRPr="00197294">
        <w:rPr>
          <w:rFonts w:ascii="Times New Roman" w:hAnsi="Times New Roman" w:cs="Times New Roman"/>
          <w:i/>
          <w:sz w:val="24"/>
          <w:szCs w:val="24"/>
          <w:vertAlign w:val="subscript"/>
        </w:rPr>
        <w:t>i</w:t>
      </w:r>
      <w:r w:rsidRPr="00197294">
        <w:rPr>
          <w:rFonts w:ascii="Times New Roman" w:hAnsi="Times New Roman" w:cs="Times New Roman"/>
          <w:i/>
          <w:sz w:val="24"/>
          <w:szCs w:val="24"/>
        </w:rPr>
        <w:t xml:space="preserve"> s</w:t>
      </w:r>
      <w:r w:rsidRPr="00197294">
        <w:rPr>
          <w:rFonts w:ascii="Times New Roman" w:hAnsi="Times New Roman" w:cs="Times New Roman"/>
          <w:i/>
          <w:sz w:val="24"/>
          <w:szCs w:val="24"/>
          <w:vertAlign w:val="subscript"/>
        </w:rPr>
        <w:t>i</w:t>
      </w:r>
      <w:r w:rsidRPr="00197294">
        <w:rPr>
          <w:rFonts w:ascii="Times New Roman" w:hAnsi="Times New Roman" w:cs="Times New Roman"/>
          <w:i/>
          <w:sz w:val="24"/>
          <w:szCs w:val="24"/>
        </w:rPr>
        <w:t xml:space="preserve"> [ΔB</w:t>
      </w:r>
      <w:r w:rsidRPr="00197294">
        <w:rPr>
          <w:rFonts w:ascii="Times New Roman" w:hAnsi="Times New Roman" w:cs="Times New Roman"/>
          <w:i/>
          <w:sz w:val="24"/>
          <w:szCs w:val="24"/>
          <w:vertAlign w:val="subscript"/>
        </w:rPr>
        <w:t>i</w:t>
      </w:r>
      <w:r w:rsidRPr="00197294">
        <w:rPr>
          <w:rFonts w:ascii="Times New Roman" w:hAnsi="Times New Roman" w:cs="Times New Roman"/>
          <w:sz w:val="24"/>
          <w:szCs w:val="24"/>
        </w:rPr>
        <w:t>/</w:t>
      </w:r>
      <w:r w:rsidRPr="00197294">
        <w:rPr>
          <w:rFonts w:ascii="Times New Roman" w:hAnsi="Times New Roman" w:cs="Times New Roman"/>
          <w:i/>
          <w:sz w:val="24"/>
          <w:szCs w:val="24"/>
        </w:rPr>
        <w:t>B</w:t>
      </w:r>
      <w:r w:rsidRPr="00197294">
        <w:rPr>
          <w:rFonts w:ascii="Times New Roman" w:hAnsi="Times New Roman" w:cs="Times New Roman"/>
          <w:i/>
          <w:sz w:val="24"/>
          <w:szCs w:val="24"/>
          <w:vertAlign w:val="subscript"/>
        </w:rPr>
        <w:t>i</w:t>
      </w:r>
      <w:r w:rsidRPr="00197294">
        <w:rPr>
          <w:rFonts w:ascii="Times New Roman" w:hAnsi="Times New Roman" w:cs="Times New Roman"/>
          <w:sz w:val="24"/>
          <w:szCs w:val="24"/>
        </w:rPr>
        <w:t xml:space="preserve"> +</w:t>
      </w:r>
      <w:r w:rsidRPr="00197294">
        <w:rPr>
          <w:rFonts w:ascii="Times New Roman" w:hAnsi="Times New Roman" w:cs="Times New Roman"/>
          <w:i/>
          <w:sz w:val="24"/>
          <w:szCs w:val="24"/>
        </w:rPr>
        <w:t xml:space="preserve"> Δt</w:t>
      </w:r>
      <w:r w:rsidRPr="00197294">
        <w:rPr>
          <w:rFonts w:ascii="Times New Roman" w:hAnsi="Times New Roman" w:cs="Times New Roman"/>
          <w:i/>
          <w:sz w:val="24"/>
          <w:szCs w:val="24"/>
          <w:vertAlign w:val="subscript"/>
        </w:rPr>
        <w:t>i</w:t>
      </w:r>
      <w:r w:rsidRPr="00197294">
        <w:rPr>
          <w:rFonts w:ascii="Times New Roman" w:hAnsi="Times New Roman" w:cs="Times New Roman"/>
          <w:i/>
          <w:sz w:val="24"/>
          <w:szCs w:val="24"/>
        </w:rPr>
        <w:t>/t</w:t>
      </w:r>
      <w:r w:rsidRPr="00197294">
        <w:rPr>
          <w:rFonts w:ascii="Times New Roman" w:hAnsi="Times New Roman" w:cs="Times New Roman"/>
          <w:i/>
          <w:sz w:val="24"/>
          <w:szCs w:val="24"/>
          <w:vertAlign w:val="subscript"/>
        </w:rPr>
        <w:t>i</w:t>
      </w:r>
      <w:r w:rsidRPr="00197294">
        <w:rPr>
          <w:rFonts w:ascii="Times New Roman" w:hAnsi="Times New Roman" w:cs="Times New Roman"/>
          <w:sz w:val="24"/>
          <w:szCs w:val="24"/>
        </w:rPr>
        <w:t>];</w:t>
      </w:r>
    </w:p>
    <w:p w:rsidR="00197294" w:rsidRPr="00197294" w:rsidRDefault="00197294" w:rsidP="00197294">
      <w:pPr>
        <w:spacing w:after="0" w:line="480" w:lineRule="auto"/>
        <w:rPr>
          <w:rFonts w:ascii="Times New Roman" w:hAnsi="Times New Roman" w:cs="Times New Roman"/>
          <w:sz w:val="24"/>
          <w:szCs w:val="24"/>
        </w:rPr>
      </w:pPr>
      <w:r w:rsidRPr="00197294">
        <w:rPr>
          <w:rFonts w:ascii="Times New Roman" w:hAnsi="Times New Roman" w:cs="Times New Roman"/>
          <w:sz w:val="24"/>
          <w:szCs w:val="24"/>
        </w:rPr>
        <w:t>that is, the percentage change in tax revenues equals the share</w:t>
      </w:r>
      <w:r w:rsidRPr="00197294">
        <w:rPr>
          <w:rFonts w:ascii="Times New Roman" w:hAnsi="Times New Roman" w:cs="Times New Roman"/>
          <w:i/>
          <w:sz w:val="24"/>
          <w:szCs w:val="24"/>
        </w:rPr>
        <w:t xml:space="preserve"> s</w:t>
      </w:r>
      <w:r w:rsidRPr="00197294">
        <w:rPr>
          <w:rFonts w:ascii="Times New Roman" w:hAnsi="Times New Roman" w:cs="Times New Roman"/>
          <w:i/>
          <w:sz w:val="24"/>
          <w:szCs w:val="24"/>
          <w:vertAlign w:val="subscript"/>
        </w:rPr>
        <w:t>i</w:t>
      </w:r>
      <w:r w:rsidRPr="00197294">
        <w:rPr>
          <w:rFonts w:ascii="Times New Roman" w:hAnsi="Times New Roman" w:cs="Times New Roman"/>
          <w:sz w:val="24"/>
          <w:szCs w:val="24"/>
        </w:rPr>
        <w:t xml:space="preserve"> of each tax in total revenues times the sum of the percentage change in the tax base plus the percentage change in the tax rate for each of the </w:t>
      </w:r>
      <w:r w:rsidRPr="00197294">
        <w:rPr>
          <w:rFonts w:ascii="Times New Roman" w:hAnsi="Times New Roman" w:cs="Times New Roman"/>
          <w:i/>
          <w:sz w:val="24"/>
          <w:szCs w:val="24"/>
        </w:rPr>
        <w:t>i</w:t>
      </w:r>
      <w:r w:rsidRPr="00197294">
        <w:rPr>
          <w:rFonts w:ascii="Times New Roman" w:hAnsi="Times New Roman" w:cs="Times New Roman"/>
          <w:sz w:val="24"/>
          <w:szCs w:val="24"/>
        </w:rPr>
        <w:t xml:space="preserve"> taxes.  A tax that has a small share of total revenues obviously has a smaller impact on changes in revenues, even if its base and/or rate change significantly; conversely, a tax (like the local property tax) that is a major source of revenues can have a large impact on revenues even if its base and/or rate change by small amounts.  Suppose</w:t>
      </w:r>
      <w:r w:rsidR="00CB0721">
        <w:rPr>
          <w:rFonts w:ascii="Times New Roman" w:hAnsi="Times New Roman" w:cs="Times New Roman"/>
          <w:sz w:val="24"/>
          <w:szCs w:val="24"/>
        </w:rPr>
        <w:t>,</w:t>
      </w:r>
      <w:r w:rsidRPr="00197294">
        <w:rPr>
          <w:rFonts w:ascii="Times New Roman" w:hAnsi="Times New Roman" w:cs="Times New Roman"/>
          <w:sz w:val="24"/>
          <w:szCs w:val="24"/>
        </w:rPr>
        <w:t xml:space="preserve"> finally</w:t>
      </w:r>
      <w:r w:rsidR="00CB0721">
        <w:rPr>
          <w:rFonts w:ascii="Times New Roman" w:hAnsi="Times New Roman" w:cs="Times New Roman"/>
          <w:sz w:val="24"/>
          <w:szCs w:val="24"/>
        </w:rPr>
        <w:t>,</w:t>
      </w:r>
      <w:r w:rsidRPr="00197294">
        <w:rPr>
          <w:rFonts w:ascii="Times New Roman" w:hAnsi="Times New Roman" w:cs="Times New Roman"/>
          <w:sz w:val="24"/>
          <w:szCs w:val="24"/>
        </w:rPr>
        <w:t xml:space="preserve"> that the tax base of each tax is some function of the level of economic activity, denoted </w:t>
      </w:r>
      <w:r w:rsidRPr="00197294">
        <w:rPr>
          <w:rFonts w:ascii="Times New Roman" w:hAnsi="Times New Roman" w:cs="Times New Roman"/>
          <w:i/>
          <w:sz w:val="24"/>
          <w:szCs w:val="24"/>
        </w:rPr>
        <w:t>Y</w:t>
      </w:r>
      <w:r w:rsidRPr="00197294">
        <w:rPr>
          <w:rFonts w:ascii="Times New Roman" w:hAnsi="Times New Roman" w:cs="Times New Roman"/>
          <w:sz w:val="24"/>
          <w:szCs w:val="24"/>
        </w:rPr>
        <w:t xml:space="preserve">.  With a change in the level of economic activity, the percentage change in any tax base due to a changed economic environment can be written as </w:t>
      </w:r>
      <w:r w:rsidRPr="00197294">
        <w:rPr>
          <w:rFonts w:ascii="Times New Roman" w:hAnsi="Times New Roman" w:cs="Times New Roman"/>
          <w:i/>
          <w:sz w:val="24"/>
          <w:szCs w:val="24"/>
        </w:rPr>
        <w:t>ΔB</w:t>
      </w:r>
      <w:r w:rsidRPr="00197294">
        <w:rPr>
          <w:rFonts w:ascii="Times New Roman" w:hAnsi="Times New Roman" w:cs="Times New Roman"/>
          <w:i/>
          <w:sz w:val="24"/>
          <w:szCs w:val="24"/>
          <w:vertAlign w:val="subscript"/>
        </w:rPr>
        <w:t>i</w:t>
      </w:r>
      <w:r w:rsidRPr="00197294">
        <w:rPr>
          <w:rFonts w:ascii="Times New Roman" w:hAnsi="Times New Roman" w:cs="Times New Roman"/>
          <w:sz w:val="24"/>
          <w:szCs w:val="24"/>
        </w:rPr>
        <w:t>/</w:t>
      </w:r>
      <w:r w:rsidRPr="00197294">
        <w:rPr>
          <w:rFonts w:ascii="Times New Roman" w:hAnsi="Times New Roman" w:cs="Times New Roman"/>
          <w:i/>
          <w:sz w:val="24"/>
          <w:szCs w:val="24"/>
        </w:rPr>
        <w:t>B</w:t>
      </w:r>
      <w:r w:rsidRPr="00197294">
        <w:rPr>
          <w:rFonts w:ascii="Times New Roman" w:hAnsi="Times New Roman" w:cs="Times New Roman"/>
          <w:i/>
          <w:sz w:val="24"/>
          <w:szCs w:val="24"/>
          <w:vertAlign w:val="subscript"/>
        </w:rPr>
        <w:t>i</w:t>
      </w:r>
      <w:r w:rsidRPr="00197294">
        <w:rPr>
          <w:rFonts w:ascii="Times New Roman" w:hAnsi="Times New Roman" w:cs="Times New Roman"/>
          <w:i/>
          <w:sz w:val="24"/>
          <w:szCs w:val="24"/>
        </w:rPr>
        <w:t>=ε</w:t>
      </w:r>
      <w:r w:rsidRPr="00197294">
        <w:rPr>
          <w:rFonts w:ascii="Times New Roman" w:hAnsi="Times New Roman" w:cs="Times New Roman"/>
          <w:i/>
          <w:sz w:val="24"/>
          <w:szCs w:val="24"/>
          <w:vertAlign w:val="subscript"/>
        </w:rPr>
        <w:t>i</w:t>
      </w:r>
      <w:r w:rsidRPr="00197294">
        <w:rPr>
          <w:rFonts w:ascii="Times New Roman" w:hAnsi="Times New Roman" w:cs="Times New Roman"/>
          <w:i/>
          <w:sz w:val="24"/>
          <w:szCs w:val="24"/>
        </w:rPr>
        <w:t>(ΔY</w:t>
      </w:r>
      <w:r w:rsidRPr="00197294">
        <w:rPr>
          <w:rFonts w:ascii="Times New Roman" w:hAnsi="Times New Roman" w:cs="Times New Roman"/>
          <w:sz w:val="24"/>
          <w:szCs w:val="24"/>
        </w:rPr>
        <w:t>/</w:t>
      </w:r>
      <w:r w:rsidRPr="00197294">
        <w:rPr>
          <w:rFonts w:ascii="Times New Roman" w:hAnsi="Times New Roman" w:cs="Times New Roman"/>
          <w:i/>
          <w:sz w:val="24"/>
          <w:szCs w:val="24"/>
        </w:rPr>
        <w:t>Y)</w:t>
      </w:r>
      <w:r w:rsidRPr="00197294">
        <w:rPr>
          <w:rFonts w:ascii="Times New Roman" w:hAnsi="Times New Roman" w:cs="Times New Roman"/>
          <w:sz w:val="24"/>
          <w:szCs w:val="24"/>
        </w:rPr>
        <w:t xml:space="preserve">, where </w:t>
      </w:r>
      <w:r w:rsidRPr="00197294">
        <w:rPr>
          <w:rFonts w:ascii="Times New Roman" w:hAnsi="Times New Roman" w:cs="Times New Roman"/>
          <w:i/>
          <w:sz w:val="24"/>
          <w:szCs w:val="24"/>
        </w:rPr>
        <w:t>ε</w:t>
      </w:r>
      <w:r w:rsidRPr="00197294">
        <w:rPr>
          <w:rFonts w:ascii="Times New Roman" w:hAnsi="Times New Roman" w:cs="Times New Roman"/>
          <w:i/>
          <w:sz w:val="24"/>
          <w:szCs w:val="24"/>
          <w:vertAlign w:val="subscript"/>
        </w:rPr>
        <w:t>i</w:t>
      </w:r>
      <w:r w:rsidRPr="00197294">
        <w:rPr>
          <w:rFonts w:ascii="Times New Roman" w:hAnsi="Times New Roman" w:cs="Times New Roman"/>
          <w:sz w:val="24"/>
          <w:szCs w:val="24"/>
        </w:rPr>
        <w:t xml:space="preserve"> is the elasticity of tax base </w:t>
      </w:r>
      <w:r w:rsidRPr="00197294">
        <w:rPr>
          <w:rFonts w:ascii="Times New Roman" w:hAnsi="Times New Roman" w:cs="Times New Roman"/>
          <w:i/>
          <w:sz w:val="24"/>
          <w:szCs w:val="24"/>
        </w:rPr>
        <w:t>i</w:t>
      </w:r>
      <w:r w:rsidRPr="00197294">
        <w:rPr>
          <w:rFonts w:ascii="Times New Roman" w:hAnsi="Times New Roman" w:cs="Times New Roman"/>
          <w:sz w:val="24"/>
          <w:szCs w:val="24"/>
        </w:rPr>
        <w:t xml:space="preserve"> with respect to the level of economic activity.  The percentage change in total revenues now becomes:</w:t>
      </w:r>
    </w:p>
    <w:p w:rsidR="00197294" w:rsidRPr="00197294" w:rsidRDefault="00197294" w:rsidP="00197294">
      <w:pPr>
        <w:spacing w:after="0" w:line="480" w:lineRule="auto"/>
        <w:ind w:firstLine="720"/>
        <w:rPr>
          <w:rFonts w:ascii="Times New Roman" w:hAnsi="Times New Roman" w:cs="Times New Roman"/>
          <w:i/>
          <w:sz w:val="24"/>
          <w:szCs w:val="24"/>
        </w:rPr>
      </w:pPr>
      <w:r w:rsidRPr="00197294">
        <w:rPr>
          <w:rFonts w:ascii="Times New Roman" w:hAnsi="Times New Roman" w:cs="Times New Roman"/>
          <w:i/>
          <w:sz w:val="24"/>
          <w:szCs w:val="24"/>
        </w:rPr>
        <w:t>ΔR/R = ∑</w:t>
      </w:r>
      <w:r w:rsidRPr="00197294">
        <w:rPr>
          <w:rFonts w:ascii="Times New Roman" w:hAnsi="Times New Roman" w:cs="Times New Roman"/>
          <w:i/>
          <w:sz w:val="24"/>
          <w:szCs w:val="24"/>
          <w:vertAlign w:val="subscript"/>
        </w:rPr>
        <w:t>i</w:t>
      </w:r>
      <w:r w:rsidRPr="00197294">
        <w:rPr>
          <w:rFonts w:ascii="Times New Roman" w:hAnsi="Times New Roman" w:cs="Times New Roman"/>
          <w:i/>
          <w:sz w:val="24"/>
          <w:szCs w:val="24"/>
        </w:rPr>
        <w:t xml:space="preserve"> s</w:t>
      </w:r>
      <w:r w:rsidRPr="00197294">
        <w:rPr>
          <w:rFonts w:ascii="Times New Roman" w:hAnsi="Times New Roman" w:cs="Times New Roman"/>
          <w:i/>
          <w:sz w:val="24"/>
          <w:szCs w:val="24"/>
          <w:vertAlign w:val="subscript"/>
        </w:rPr>
        <w:t>i</w:t>
      </w:r>
      <w:r w:rsidRPr="00197294">
        <w:rPr>
          <w:rFonts w:ascii="Times New Roman" w:hAnsi="Times New Roman" w:cs="Times New Roman"/>
          <w:i/>
          <w:sz w:val="24"/>
          <w:szCs w:val="24"/>
        </w:rPr>
        <w:t xml:space="preserve"> [ΔB</w:t>
      </w:r>
      <w:r w:rsidRPr="00197294">
        <w:rPr>
          <w:rFonts w:ascii="Times New Roman" w:hAnsi="Times New Roman" w:cs="Times New Roman"/>
          <w:i/>
          <w:sz w:val="24"/>
          <w:szCs w:val="24"/>
          <w:vertAlign w:val="subscript"/>
        </w:rPr>
        <w:t>i</w:t>
      </w:r>
      <w:r w:rsidRPr="00197294">
        <w:rPr>
          <w:rFonts w:ascii="Times New Roman" w:hAnsi="Times New Roman" w:cs="Times New Roman"/>
          <w:sz w:val="24"/>
          <w:szCs w:val="24"/>
        </w:rPr>
        <w:t>/</w:t>
      </w:r>
      <w:r w:rsidRPr="00197294">
        <w:rPr>
          <w:rFonts w:ascii="Times New Roman" w:hAnsi="Times New Roman" w:cs="Times New Roman"/>
          <w:i/>
          <w:sz w:val="24"/>
          <w:szCs w:val="24"/>
        </w:rPr>
        <w:t>B</w:t>
      </w:r>
      <w:r w:rsidRPr="00197294">
        <w:rPr>
          <w:rFonts w:ascii="Times New Roman" w:hAnsi="Times New Roman" w:cs="Times New Roman"/>
          <w:i/>
          <w:sz w:val="24"/>
          <w:szCs w:val="24"/>
          <w:vertAlign w:val="subscript"/>
        </w:rPr>
        <w:t>i</w:t>
      </w:r>
      <w:r w:rsidRPr="00197294">
        <w:rPr>
          <w:rFonts w:ascii="Times New Roman" w:hAnsi="Times New Roman" w:cs="Times New Roman"/>
          <w:sz w:val="24"/>
          <w:szCs w:val="24"/>
        </w:rPr>
        <w:t xml:space="preserve"> + </w:t>
      </w:r>
      <w:r w:rsidRPr="00197294">
        <w:rPr>
          <w:rFonts w:ascii="Times New Roman" w:hAnsi="Times New Roman" w:cs="Times New Roman"/>
          <w:i/>
          <w:sz w:val="24"/>
          <w:szCs w:val="24"/>
        </w:rPr>
        <w:t>ε</w:t>
      </w:r>
      <w:r w:rsidRPr="00197294">
        <w:rPr>
          <w:rFonts w:ascii="Times New Roman" w:hAnsi="Times New Roman" w:cs="Times New Roman"/>
          <w:i/>
          <w:sz w:val="24"/>
          <w:szCs w:val="24"/>
          <w:vertAlign w:val="subscript"/>
        </w:rPr>
        <w:t>i</w:t>
      </w:r>
      <w:r w:rsidRPr="00197294">
        <w:rPr>
          <w:rFonts w:ascii="Times New Roman" w:hAnsi="Times New Roman" w:cs="Times New Roman"/>
          <w:i/>
          <w:sz w:val="24"/>
          <w:szCs w:val="24"/>
        </w:rPr>
        <w:t xml:space="preserve"> (ΔY/Y) + Δt</w:t>
      </w:r>
      <w:r w:rsidRPr="00197294">
        <w:rPr>
          <w:rFonts w:ascii="Times New Roman" w:hAnsi="Times New Roman" w:cs="Times New Roman"/>
          <w:i/>
          <w:sz w:val="24"/>
          <w:szCs w:val="24"/>
          <w:vertAlign w:val="subscript"/>
        </w:rPr>
        <w:t>i</w:t>
      </w:r>
      <w:r w:rsidRPr="00197294">
        <w:rPr>
          <w:rFonts w:ascii="Times New Roman" w:hAnsi="Times New Roman" w:cs="Times New Roman"/>
          <w:i/>
          <w:sz w:val="24"/>
          <w:szCs w:val="24"/>
        </w:rPr>
        <w:t>/t</w:t>
      </w:r>
      <w:r w:rsidRPr="00197294">
        <w:rPr>
          <w:rFonts w:ascii="Times New Roman" w:hAnsi="Times New Roman" w:cs="Times New Roman"/>
          <w:i/>
          <w:sz w:val="24"/>
          <w:szCs w:val="24"/>
          <w:vertAlign w:val="subscript"/>
        </w:rPr>
        <w:t>i</w:t>
      </w:r>
      <w:r w:rsidRPr="00197294">
        <w:rPr>
          <w:rFonts w:ascii="Times New Roman" w:hAnsi="Times New Roman" w:cs="Times New Roman"/>
          <w:i/>
          <w:sz w:val="24"/>
          <w:szCs w:val="24"/>
        </w:rPr>
        <w:t>],</w:t>
      </w:r>
    </w:p>
    <w:p w:rsidR="00197294" w:rsidRPr="00197294" w:rsidRDefault="00197294" w:rsidP="00197294">
      <w:pPr>
        <w:spacing w:after="0" w:line="480" w:lineRule="auto"/>
        <w:rPr>
          <w:rFonts w:ascii="Times New Roman" w:hAnsi="Times New Roman" w:cs="Times New Roman"/>
          <w:sz w:val="24"/>
          <w:szCs w:val="24"/>
        </w:rPr>
      </w:pPr>
      <w:r w:rsidRPr="00197294">
        <w:rPr>
          <w:rFonts w:ascii="Times New Roman" w:hAnsi="Times New Roman" w:cs="Times New Roman"/>
          <w:sz w:val="24"/>
          <w:szCs w:val="24"/>
        </w:rPr>
        <w:t xml:space="preserve">where </w:t>
      </w:r>
      <w:r w:rsidRPr="00197294">
        <w:rPr>
          <w:rFonts w:ascii="Times New Roman" w:hAnsi="Times New Roman" w:cs="Times New Roman"/>
          <w:i/>
          <w:sz w:val="24"/>
          <w:szCs w:val="24"/>
        </w:rPr>
        <w:t>ΔB</w:t>
      </w:r>
      <w:r w:rsidRPr="00197294">
        <w:rPr>
          <w:rFonts w:ascii="Times New Roman" w:hAnsi="Times New Roman" w:cs="Times New Roman"/>
          <w:i/>
          <w:sz w:val="24"/>
          <w:szCs w:val="24"/>
          <w:vertAlign w:val="subscript"/>
        </w:rPr>
        <w:t>i</w:t>
      </w:r>
      <w:r w:rsidRPr="00197294">
        <w:rPr>
          <w:rFonts w:ascii="Times New Roman" w:hAnsi="Times New Roman" w:cs="Times New Roman"/>
          <w:sz w:val="24"/>
          <w:szCs w:val="24"/>
        </w:rPr>
        <w:t>/</w:t>
      </w:r>
      <w:r w:rsidRPr="00197294">
        <w:rPr>
          <w:rFonts w:ascii="Times New Roman" w:hAnsi="Times New Roman" w:cs="Times New Roman"/>
          <w:i/>
          <w:sz w:val="24"/>
          <w:szCs w:val="24"/>
        </w:rPr>
        <w:t>B</w:t>
      </w:r>
      <w:r w:rsidRPr="00197294">
        <w:rPr>
          <w:rFonts w:ascii="Times New Roman" w:hAnsi="Times New Roman" w:cs="Times New Roman"/>
          <w:i/>
          <w:sz w:val="24"/>
          <w:szCs w:val="24"/>
          <w:vertAlign w:val="subscript"/>
        </w:rPr>
        <w:t>i</w:t>
      </w:r>
      <w:r w:rsidRPr="00197294">
        <w:rPr>
          <w:rFonts w:ascii="Times New Roman" w:hAnsi="Times New Roman" w:cs="Times New Roman"/>
          <w:sz w:val="24"/>
          <w:szCs w:val="24"/>
        </w:rPr>
        <w:t xml:space="preserve"> now represents the deliberate administrative or policy change in the tax base of tax </w:t>
      </w:r>
      <w:r w:rsidRPr="00197294">
        <w:rPr>
          <w:rFonts w:ascii="Times New Roman" w:hAnsi="Times New Roman" w:cs="Times New Roman"/>
          <w:i/>
          <w:sz w:val="24"/>
          <w:szCs w:val="24"/>
        </w:rPr>
        <w:t>i</w:t>
      </w:r>
      <w:r w:rsidRPr="00197294">
        <w:rPr>
          <w:rFonts w:ascii="Times New Roman" w:hAnsi="Times New Roman" w:cs="Times New Roman"/>
          <w:sz w:val="24"/>
          <w:szCs w:val="24"/>
        </w:rPr>
        <w:t xml:space="preserve">, </w:t>
      </w:r>
      <w:r w:rsidRPr="00197294">
        <w:rPr>
          <w:rFonts w:ascii="Times New Roman" w:hAnsi="Times New Roman" w:cs="Times New Roman"/>
          <w:i/>
          <w:sz w:val="24"/>
          <w:szCs w:val="24"/>
        </w:rPr>
        <w:t>Δt</w:t>
      </w:r>
      <w:r w:rsidRPr="00197294">
        <w:rPr>
          <w:rFonts w:ascii="Times New Roman" w:hAnsi="Times New Roman" w:cs="Times New Roman"/>
          <w:i/>
          <w:sz w:val="24"/>
          <w:szCs w:val="24"/>
          <w:vertAlign w:val="subscript"/>
        </w:rPr>
        <w:t>i</w:t>
      </w:r>
      <w:r w:rsidRPr="00197294">
        <w:rPr>
          <w:rFonts w:ascii="Times New Roman" w:hAnsi="Times New Roman" w:cs="Times New Roman"/>
          <w:i/>
          <w:sz w:val="24"/>
          <w:szCs w:val="24"/>
        </w:rPr>
        <w:t>/t</w:t>
      </w:r>
      <w:r w:rsidRPr="00197294">
        <w:rPr>
          <w:rFonts w:ascii="Times New Roman" w:hAnsi="Times New Roman" w:cs="Times New Roman"/>
          <w:i/>
          <w:sz w:val="24"/>
          <w:szCs w:val="24"/>
          <w:vertAlign w:val="subscript"/>
        </w:rPr>
        <w:t>i</w:t>
      </w:r>
      <w:r w:rsidRPr="00197294">
        <w:rPr>
          <w:rFonts w:ascii="Times New Roman" w:hAnsi="Times New Roman" w:cs="Times New Roman"/>
          <w:sz w:val="24"/>
          <w:szCs w:val="24"/>
        </w:rPr>
        <w:t xml:space="preserve"> represent the administrative change in tax rate </w:t>
      </w:r>
      <w:r w:rsidRPr="00197294">
        <w:rPr>
          <w:rFonts w:ascii="Times New Roman" w:hAnsi="Times New Roman" w:cs="Times New Roman"/>
          <w:i/>
          <w:sz w:val="24"/>
          <w:szCs w:val="24"/>
        </w:rPr>
        <w:t>i</w:t>
      </w:r>
      <w:r w:rsidRPr="00197294">
        <w:rPr>
          <w:rFonts w:ascii="Times New Roman" w:hAnsi="Times New Roman" w:cs="Times New Roman"/>
          <w:sz w:val="24"/>
          <w:szCs w:val="24"/>
        </w:rPr>
        <w:t xml:space="preserve">, and </w:t>
      </w:r>
      <w:r w:rsidRPr="00197294">
        <w:rPr>
          <w:rFonts w:ascii="Times New Roman" w:hAnsi="Times New Roman" w:cs="Times New Roman"/>
          <w:i/>
          <w:sz w:val="24"/>
          <w:szCs w:val="24"/>
        </w:rPr>
        <w:t>ε</w:t>
      </w:r>
      <w:r w:rsidRPr="00197294">
        <w:rPr>
          <w:rFonts w:ascii="Times New Roman" w:hAnsi="Times New Roman" w:cs="Times New Roman"/>
          <w:i/>
          <w:sz w:val="24"/>
          <w:szCs w:val="24"/>
          <w:vertAlign w:val="subscript"/>
        </w:rPr>
        <w:t>i</w:t>
      </w:r>
      <w:r w:rsidRPr="00197294">
        <w:rPr>
          <w:rFonts w:ascii="Times New Roman" w:hAnsi="Times New Roman" w:cs="Times New Roman"/>
          <w:i/>
          <w:sz w:val="24"/>
          <w:szCs w:val="24"/>
        </w:rPr>
        <w:t>(ΔY/Y)</w:t>
      </w:r>
      <w:r w:rsidRPr="00197294">
        <w:rPr>
          <w:rFonts w:ascii="Times New Roman" w:hAnsi="Times New Roman" w:cs="Times New Roman"/>
          <w:sz w:val="24"/>
          <w:szCs w:val="24"/>
        </w:rPr>
        <w:t xml:space="preserve"> denotes the (automatic) change in the tax base of tax </w:t>
      </w:r>
      <w:r w:rsidRPr="00197294">
        <w:rPr>
          <w:rFonts w:ascii="Times New Roman" w:hAnsi="Times New Roman" w:cs="Times New Roman"/>
          <w:i/>
          <w:sz w:val="24"/>
          <w:szCs w:val="24"/>
        </w:rPr>
        <w:t>i</w:t>
      </w:r>
      <w:r w:rsidRPr="00197294">
        <w:rPr>
          <w:rFonts w:ascii="Times New Roman" w:hAnsi="Times New Roman" w:cs="Times New Roman"/>
          <w:sz w:val="24"/>
          <w:szCs w:val="24"/>
        </w:rPr>
        <w:t xml:space="preserve"> stemming from its link with economic activity.  This equation summarizes the </w:t>
      </w:r>
      <w:r w:rsidRPr="00197294">
        <w:rPr>
          <w:rFonts w:ascii="Times New Roman" w:hAnsi="Times New Roman" w:cs="Times New Roman"/>
          <w:sz w:val="24"/>
          <w:szCs w:val="24"/>
        </w:rPr>
        <w:lastRenderedPageBreak/>
        <w:t xml:space="preserve">various channels by which revenues – whether of a single tax or a collection of taxes – are affected by a change in policy actions or in external circumstances.  Revenues can change if the tax rate(s) or the tax base(s) changes; revenues can also change if the level of economic activity changes, provided that the tax base(s) is linked in some way to economic activity, as measured by </w:t>
      </w:r>
      <w:r w:rsidRPr="00197294">
        <w:rPr>
          <w:rFonts w:ascii="Times New Roman" w:hAnsi="Times New Roman" w:cs="Times New Roman"/>
          <w:i/>
          <w:sz w:val="24"/>
          <w:szCs w:val="24"/>
        </w:rPr>
        <w:t>ε</w:t>
      </w:r>
      <w:r w:rsidRPr="00197294">
        <w:rPr>
          <w:rFonts w:ascii="Times New Roman" w:hAnsi="Times New Roman" w:cs="Times New Roman"/>
          <w:i/>
          <w:sz w:val="24"/>
          <w:szCs w:val="24"/>
          <w:vertAlign w:val="subscript"/>
        </w:rPr>
        <w:t>i</w:t>
      </w:r>
      <w:r w:rsidRPr="00197294">
        <w:rPr>
          <w:rFonts w:ascii="Times New Roman" w:hAnsi="Times New Roman" w:cs="Times New Roman"/>
          <w:sz w:val="24"/>
          <w:szCs w:val="24"/>
        </w:rPr>
        <w:t>.  If the tax base cannot change, either because it is not responsive to economic activity, because it requires a deliberate but unforthcoming policy action, or because it is administratively constrained, then the only remaining source of a change in revenues is from a change in the tax rate(s).</w:t>
      </w:r>
    </w:p>
    <w:p w:rsidR="00776CA9" w:rsidRDefault="00F324C9" w:rsidP="001972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seek to estimate the effect of foreclosures on property tax revenue.  The likely link between foreclosures and property tax revenue</w:t>
      </w:r>
      <w:r w:rsidR="00982FF0">
        <w:rPr>
          <w:rFonts w:ascii="Times New Roman" w:hAnsi="Times New Roman" w:cs="Times New Roman"/>
          <w:sz w:val="24"/>
          <w:szCs w:val="24"/>
        </w:rPr>
        <w:t xml:space="preserve"> in a geographic area</w:t>
      </w:r>
      <w:r>
        <w:rPr>
          <w:rFonts w:ascii="Times New Roman" w:hAnsi="Times New Roman" w:cs="Times New Roman"/>
          <w:sz w:val="24"/>
          <w:szCs w:val="24"/>
        </w:rPr>
        <w:t xml:space="preserve"> runs as follow</w:t>
      </w:r>
      <w:r w:rsidR="006775C9">
        <w:rPr>
          <w:rFonts w:ascii="Times New Roman" w:hAnsi="Times New Roman" w:cs="Times New Roman"/>
          <w:sz w:val="24"/>
          <w:szCs w:val="24"/>
        </w:rPr>
        <w:t xml:space="preserve">s, as suggested by the above framework: </w:t>
      </w:r>
      <w:r>
        <w:rPr>
          <w:rFonts w:ascii="Times New Roman" w:hAnsi="Times New Roman" w:cs="Times New Roman"/>
          <w:sz w:val="24"/>
          <w:szCs w:val="24"/>
        </w:rPr>
        <w:t xml:space="preserve"> foreclosures decrease </w:t>
      </w:r>
      <w:r w:rsidR="00D01E03">
        <w:rPr>
          <w:rFonts w:ascii="Times New Roman" w:hAnsi="Times New Roman" w:cs="Times New Roman"/>
          <w:sz w:val="24"/>
          <w:szCs w:val="24"/>
        </w:rPr>
        <w:t xml:space="preserve">market </w:t>
      </w:r>
      <w:r>
        <w:rPr>
          <w:rFonts w:ascii="Times New Roman" w:hAnsi="Times New Roman" w:cs="Times New Roman"/>
          <w:sz w:val="24"/>
          <w:szCs w:val="24"/>
        </w:rPr>
        <w:t>values of the foreclosured house</w:t>
      </w:r>
      <w:r w:rsidR="00D01E03">
        <w:rPr>
          <w:rFonts w:ascii="Times New Roman" w:hAnsi="Times New Roman" w:cs="Times New Roman"/>
          <w:sz w:val="24"/>
          <w:szCs w:val="24"/>
        </w:rPr>
        <w:t>s</w:t>
      </w:r>
      <w:r>
        <w:rPr>
          <w:rFonts w:ascii="Times New Roman" w:hAnsi="Times New Roman" w:cs="Times New Roman"/>
          <w:sz w:val="24"/>
          <w:szCs w:val="24"/>
        </w:rPr>
        <w:t xml:space="preserve"> and </w:t>
      </w:r>
      <w:r w:rsidR="00D01E03">
        <w:rPr>
          <w:rFonts w:ascii="Times New Roman" w:hAnsi="Times New Roman" w:cs="Times New Roman"/>
          <w:sz w:val="24"/>
          <w:szCs w:val="24"/>
        </w:rPr>
        <w:t xml:space="preserve">also </w:t>
      </w:r>
      <w:r>
        <w:rPr>
          <w:rFonts w:ascii="Times New Roman" w:hAnsi="Times New Roman" w:cs="Times New Roman"/>
          <w:sz w:val="24"/>
          <w:szCs w:val="24"/>
        </w:rPr>
        <w:t xml:space="preserve">of </w:t>
      </w:r>
      <w:r w:rsidR="009F3A8D">
        <w:rPr>
          <w:rFonts w:ascii="Times New Roman" w:hAnsi="Times New Roman" w:cs="Times New Roman"/>
          <w:sz w:val="24"/>
          <w:szCs w:val="24"/>
        </w:rPr>
        <w:t>nearby</w:t>
      </w:r>
      <w:r w:rsidR="00D01E03">
        <w:rPr>
          <w:rFonts w:ascii="Times New Roman" w:hAnsi="Times New Roman" w:cs="Times New Roman"/>
          <w:sz w:val="24"/>
          <w:szCs w:val="24"/>
        </w:rPr>
        <w:t xml:space="preserve"> </w:t>
      </w:r>
      <w:r>
        <w:rPr>
          <w:rFonts w:ascii="Times New Roman" w:hAnsi="Times New Roman" w:cs="Times New Roman"/>
          <w:sz w:val="24"/>
          <w:szCs w:val="24"/>
        </w:rPr>
        <w:t>homes</w:t>
      </w:r>
      <w:r w:rsidR="00D01E03">
        <w:rPr>
          <w:rFonts w:ascii="Times New Roman" w:hAnsi="Times New Roman" w:cs="Times New Roman"/>
          <w:sz w:val="24"/>
          <w:szCs w:val="24"/>
        </w:rPr>
        <w:t xml:space="preserve"> in the community</w:t>
      </w:r>
      <w:r>
        <w:rPr>
          <w:rFonts w:ascii="Times New Roman" w:hAnsi="Times New Roman" w:cs="Times New Roman"/>
          <w:sz w:val="24"/>
          <w:szCs w:val="24"/>
        </w:rPr>
        <w:t xml:space="preserve">; </w:t>
      </w:r>
      <w:r w:rsidR="006775C9">
        <w:rPr>
          <w:rFonts w:ascii="Times New Roman" w:hAnsi="Times New Roman" w:cs="Times New Roman"/>
          <w:sz w:val="24"/>
          <w:szCs w:val="24"/>
        </w:rPr>
        <w:t xml:space="preserve">these </w:t>
      </w:r>
      <w:r>
        <w:rPr>
          <w:rFonts w:ascii="Times New Roman" w:hAnsi="Times New Roman" w:cs="Times New Roman"/>
          <w:sz w:val="24"/>
          <w:szCs w:val="24"/>
        </w:rPr>
        <w:t>decreases in housing prices get translated into decreases in assessed value</w:t>
      </w:r>
      <w:r w:rsidR="00F64938">
        <w:rPr>
          <w:rFonts w:ascii="Times New Roman" w:hAnsi="Times New Roman" w:cs="Times New Roman"/>
          <w:sz w:val="24"/>
          <w:szCs w:val="24"/>
        </w:rPr>
        <w:t xml:space="preserve"> through the assessment process</w:t>
      </w:r>
      <w:r>
        <w:rPr>
          <w:rFonts w:ascii="Times New Roman" w:hAnsi="Times New Roman" w:cs="Times New Roman"/>
          <w:sz w:val="24"/>
          <w:szCs w:val="24"/>
        </w:rPr>
        <w:t xml:space="preserve">; decreases in assessed value may result in </w:t>
      </w:r>
      <w:r w:rsidR="00F64938">
        <w:rPr>
          <w:rFonts w:ascii="Times New Roman" w:hAnsi="Times New Roman" w:cs="Times New Roman"/>
          <w:sz w:val="24"/>
          <w:szCs w:val="24"/>
        </w:rPr>
        <w:t xml:space="preserve">government decisions to </w:t>
      </w:r>
      <w:r>
        <w:rPr>
          <w:rFonts w:ascii="Times New Roman" w:hAnsi="Times New Roman" w:cs="Times New Roman"/>
          <w:sz w:val="24"/>
          <w:szCs w:val="24"/>
        </w:rPr>
        <w:t>increase the property tax rate</w:t>
      </w:r>
      <w:r w:rsidR="00F64938">
        <w:rPr>
          <w:rFonts w:ascii="Times New Roman" w:hAnsi="Times New Roman" w:cs="Times New Roman"/>
          <w:sz w:val="24"/>
          <w:szCs w:val="24"/>
        </w:rPr>
        <w:t>; finally</w:t>
      </w:r>
      <w:r w:rsidR="00D01E03">
        <w:rPr>
          <w:rFonts w:ascii="Times New Roman" w:hAnsi="Times New Roman" w:cs="Times New Roman"/>
          <w:sz w:val="24"/>
          <w:szCs w:val="24"/>
        </w:rPr>
        <w:t>,</w:t>
      </w:r>
      <w:r w:rsidR="00F64938">
        <w:rPr>
          <w:rFonts w:ascii="Times New Roman" w:hAnsi="Times New Roman" w:cs="Times New Roman"/>
          <w:sz w:val="24"/>
          <w:szCs w:val="24"/>
        </w:rPr>
        <w:t xml:space="preserve"> foreclosures could result in reduced collection rates</w:t>
      </w:r>
      <w:r>
        <w:rPr>
          <w:rFonts w:ascii="Times New Roman" w:hAnsi="Times New Roman" w:cs="Times New Roman"/>
          <w:sz w:val="24"/>
          <w:szCs w:val="24"/>
        </w:rPr>
        <w:t xml:space="preserve">.  The </w:t>
      </w:r>
      <w:r w:rsidR="00CA71C5">
        <w:rPr>
          <w:rFonts w:ascii="Times New Roman" w:hAnsi="Times New Roman" w:cs="Times New Roman"/>
          <w:sz w:val="24"/>
          <w:szCs w:val="24"/>
        </w:rPr>
        <w:t>result could be either a net decrease or no change in property tax revenue.</w:t>
      </w:r>
      <w:r>
        <w:rPr>
          <w:rFonts w:ascii="Times New Roman" w:hAnsi="Times New Roman" w:cs="Times New Roman"/>
          <w:sz w:val="24"/>
          <w:szCs w:val="24"/>
        </w:rPr>
        <w:t xml:space="preserve"> </w:t>
      </w:r>
    </w:p>
    <w:p w:rsidR="00CA71C5" w:rsidRDefault="00E2703E" w:rsidP="00197294">
      <w:pPr>
        <w:spacing w:after="0" w:line="480" w:lineRule="auto"/>
        <w:ind w:firstLine="720"/>
        <w:rPr>
          <w:rFonts w:ascii="Times New Roman" w:hAnsi="Times New Roman" w:cs="Times New Roman"/>
          <w:sz w:val="24"/>
          <w:szCs w:val="24"/>
        </w:rPr>
      </w:pPr>
      <w:r w:rsidRPr="00E2703E">
        <w:rPr>
          <w:rFonts w:ascii="Times New Roman" w:hAnsi="Times New Roman" w:cs="Times New Roman"/>
          <w:sz w:val="24"/>
          <w:szCs w:val="24"/>
        </w:rPr>
        <w:t>We assume that property values do not immediately revert to their pre-foreclosure level at the time the foreclosed property is returned to the private market.  In addition, a new foreclosure in one period is not necessarily returned to the private market in that period.  An accumulation of foreclosed properties that have not yet been resold by lenders to new homeowners may continue to depress prices in the area in subsequent periods</w:t>
      </w:r>
      <w:r>
        <w:rPr>
          <w:rFonts w:ascii="Times New Roman" w:hAnsi="Times New Roman" w:cs="Times New Roman"/>
          <w:sz w:val="24"/>
          <w:szCs w:val="24"/>
        </w:rPr>
        <w:t xml:space="preserve">. </w:t>
      </w:r>
      <w:r w:rsidRPr="00E2703E">
        <w:rPr>
          <w:rFonts w:ascii="Times New Roman" w:hAnsi="Times New Roman" w:cs="Times New Roman"/>
          <w:sz w:val="24"/>
          <w:szCs w:val="24"/>
        </w:rPr>
        <w:t xml:space="preserve"> Thus, the effect of a foreclosure in one period will likely extend into future periods.  </w:t>
      </w:r>
      <w:r w:rsidR="00CA71C5">
        <w:rPr>
          <w:rFonts w:ascii="Times New Roman" w:hAnsi="Times New Roman" w:cs="Times New Roman"/>
          <w:sz w:val="24"/>
          <w:szCs w:val="24"/>
        </w:rPr>
        <w:t>There are several papers that estimate the effect of forclosures on individual house values; see Frame (2010) for a survey.  Typical of the effect of a foreclosure on the house value are the findings of Ca</w:t>
      </w:r>
      <w:r w:rsidR="00603B2F">
        <w:rPr>
          <w:rFonts w:ascii="Times New Roman" w:hAnsi="Times New Roman" w:cs="Times New Roman"/>
          <w:sz w:val="24"/>
          <w:szCs w:val="24"/>
        </w:rPr>
        <w:t>mpbell, Giglio, and Pathak (2011</w:t>
      </w:r>
      <w:r w:rsidR="00CA71C5">
        <w:rPr>
          <w:rFonts w:ascii="Times New Roman" w:hAnsi="Times New Roman" w:cs="Times New Roman"/>
          <w:sz w:val="24"/>
          <w:szCs w:val="24"/>
        </w:rPr>
        <w:t>)</w:t>
      </w:r>
      <w:r w:rsidR="006775C9">
        <w:rPr>
          <w:rFonts w:ascii="Times New Roman" w:hAnsi="Times New Roman" w:cs="Times New Roman"/>
          <w:sz w:val="24"/>
          <w:szCs w:val="24"/>
        </w:rPr>
        <w:t>, who show</w:t>
      </w:r>
      <w:r w:rsidR="00CA71C5">
        <w:rPr>
          <w:rFonts w:ascii="Times New Roman" w:hAnsi="Times New Roman" w:cs="Times New Roman"/>
          <w:sz w:val="24"/>
          <w:szCs w:val="24"/>
        </w:rPr>
        <w:t xml:space="preserve"> that a foreclosure reduc</w:t>
      </w:r>
      <w:r w:rsidR="006775C9">
        <w:rPr>
          <w:rFonts w:ascii="Times New Roman" w:hAnsi="Times New Roman" w:cs="Times New Roman"/>
          <w:sz w:val="24"/>
          <w:szCs w:val="24"/>
        </w:rPr>
        <w:t>es the home value by 22 percent; s</w:t>
      </w:r>
      <w:r w:rsidR="00CA71C5">
        <w:rPr>
          <w:rFonts w:ascii="Times New Roman" w:hAnsi="Times New Roman" w:cs="Times New Roman"/>
          <w:sz w:val="24"/>
          <w:szCs w:val="24"/>
        </w:rPr>
        <w:t xml:space="preserve">imilar effects have been found </w:t>
      </w:r>
      <w:r w:rsidR="006775C9">
        <w:rPr>
          <w:rFonts w:ascii="Times New Roman" w:hAnsi="Times New Roman" w:cs="Times New Roman"/>
          <w:sz w:val="24"/>
          <w:szCs w:val="24"/>
        </w:rPr>
        <w:t xml:space="preserve">by Shilling, Benjamin, and Sirmans (1990) </w:t>
      </w:r>
      <w:r w:rsidR="006775C9">
        <w:rPr>
          <w:rFonts w:ascii="Times New Roman" w:hAnsi="Times New Roman" w:cs="Times New Roman"/>
          <w:sz w:val="24"/>
          <w:szCs w:val="24"/>
        </w:rPr>
        <w:lastRenderedPageBreak/>
        <w:t>and, more recently</w:t>
      </w:r>
      <w:r w:rsidR="009414B8">
        <w:rPr>
          <w:rFonts w:ascii="Times New Roman" w:hAnsi="Times New Roman" w:cs="Times New Roman"/>
          <w:sz w:val="24"/>
          <w:szCs w:val="24"/>
        </w:rPr>
        <w:t>,</w:t>
      </w:r>
      <w:r w:rsidR="006775C9">
        <w:rPr>
          <w:rFonts w:ascii="Times New Roman" w:hAnsi="Times New Roman" w:cs="Times New Roman"/>
          <w:sz w:val="24"/>
          <w:szCs w:val="24"/>
        </w:rPr>
        <w:t xml:space="preserve"> </w:t>
      </w:r>
      <w:r w:rsidR="00CA71C5">
        <w:rPr>
          <w:rFonts w:ascii="Times New Roman" w:hAnsi="Times New Roman" w:cs="Times New Roman"/>
          <w:sz w:val="24"/>
          <w:szCs w:val="24"/>
        </w:rPr>
        <w:t xml:space="preserve">by Pennington-Cross (2006).  Studies have also found that foreclosures reduce the value of neighboring homes but that the effect is small and is contained within a short distance of the foreclosure.  For example, </w:t>
      </w:r>
      <w:r w:rsidR="00603B2F">
        <w:rPr>
          <w:rFonts w:ascii="Times New Roman" w:hAnsi="Times New Roman" w:cs="Times New Roman"/>
          <w:sz w:val="24"/>
          <w:szCs w:val="24"/>
        </w:rPr>
        <w:t>Immergluck and Smith (2006) find that property price declines about 1.0 percent as a result of a foreclosure within one-eight</w:t>
      </w:r>
      <w:r w:rsidR="003A4B30">
        <w:rPr>
          <w:rFonts w:ascii="Times New Roman" w:hAnsi="Times New Roman" w:cs="Times New Roman"/>
          <w:sz w:val="24"/>
          <w:szCs w:val="24"/>
        </w:rPr>
        <w:t>h</w:t>
      </w:r>
      <w:r w:rsidR="00603B2F">
        <w:rPr>
          <w:rFonts w:ascii="Times New Roman" w:hAnsi="Times New Roman" w:cs="Times New Roman"/>
          <w:sz w:val="24"/>
          <w:szCs w:val="24"/>
        </w:rPr>
        <w:t xml:space="preserve"> of a mile, and by about 0.15 percent for </w:t>
      </w:r>
      <w:r w:rsidR="003A4B30">
        <w:rPr>
          <w:rFonts w:ascii="Times New Roman" w:hAnsi="Times New Roman" w:cs="Times New Roman"/>
          <w:sz w:val="24"/>
          <w:szCs w:val="24"/>
        </w:rPr>
        <w:t>a foreclosure between</w:t>
      </w:r>
      <w:r w:rsidR="00603B2F">
        <w:rPr>
          <w:rFonts w:ascii="Times New Roman" w:hAnsi="Times New Roman" w:cs="Times New Roman"/>
          <w:sz w:val="24"/>
          <w:szCs w:val="24"/>
        </w:rPr>
        <w:t xml:space="preserve"> one-eight</w:t>
      </w:r>
      <w:r w:rsidR="003A4B30">
        <w:rPr>
          <w:rFonts w:ascii="Times New Roman" w:hAnsi="Times New Roman" w:cs="Times New Roman"/>
          <w:sz w:val="24"/>
          <w:szCs w:val="24"/>
        </w:rPr>
        <w:t>h</w:t>
      </w:r>
      <w:r w:rsidR="00603B2F">
        <w:rPr>
          <w:rFonts w:ascii="Times New Roman" w:hAnsi="Times New Roman" w:cs="Times New Roman"/>
          <w:sz w:val="24"/>
          <w:szCs w:val="24"/>
        </w:rPr>
        <w:t xml:space="preserve"> and one-quarter of a mile</w:t>
      </w:r>
      <w:r w:rsidR="003A4B30">
        <w:rPr>
          <w:rFonts w:ascii="Times New Roman" w:hAnsi="Times New Roman" w:cs="Times New Roman"/>
          <w:sz w:val="24"/>
          <w:szCs w:val="24"/>
        </w:rPr>
        <w:t xml:space="preserve"> away</w:t>
      </w:r>
      <w:r w:rsidR="00603B2F">
        <w:rPr>
          <w:rFonts w:ascii="Times New Roman" w:hAnsi="Times New Roman" w:cs="Times New Roman"/>
          <w:sz w:val="24"/>
          <w:szCs w:val="24"/>
        </w:rPr>
        <w:t>; see also Leonard and Murdoch (2009), Lin, Rosenblatt, and Yao (2009), and Campbell, Giglio, and Pathak (2011)</w:t>
      </w:r>
    </w:p>
    <w:p w:rsidR="00197294" w:rsidRPr="00197294" w:rsidRDefault="005A6B75" w:rsidP="001972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link between the change in housing value and assessed value has been explored by </w:t>
      </w:r>
      <w:r w:rsidR="00197294" w:rsidRPr="00197294">
        <w:rPr>
          <w:rFonts w:ascii="Times New Roman" w:hAnsi="Times New Roman" w:cs="Times New Roman"/>
          <w:sz w:val="24"/>
          <w:szCs w:val="24"/>
        </w:rPr>
        <w:t>Lutz (2008)</w:t>
      </w:r>
      <w:r>
        <w:rPr>
          <w:rFonts w:ascii="Times New Roman" w:hAnsi="Times New Roman" w:cs="Times New Roman"/>
          <w:sz w:val="24"/>
          <w:szCs w:val="24"/>
        </w:rPr>
        <w:t>, who</w:t>
      </w:r>
      <w:r w:rsidR="00197294" w:rsidRPr="00197294">
        <w:rPr>
          <w:rFonts w:ascii="Times New Roman" w:hAnsi="Times New Roman" w:cs="Times New Roman"/>
          <w:sz w:val="24"/>
          <w:szCs w:val="24"/>
        </w:rPr>
        <w:t xml:space="preserve"> estimates that it generally</w:t>
      </w:r>
      <w:r w:rsidR="00F64938">
        <w:rPr>
          <w:rFonts w:ascii="Times New Roman" w:hAnsi="Times New Roman" w:cs="Times New Roman"/>
          <w:sz w:val="24"/>
          <w:szCs w:val="24"/>
        </w:rPr>
        <w:t xml:space="preserve"> takes</w:t>
      </w:r>
      <w:r w:rsidR="00197294" w:rsidRPr="00197294">
        <w:rPr>
          <w:rFonts w:ascii="Times New Roman" w:hAnsi="Times New Roman" w:cs="Times New Roman"/>
          <w:sz w:val="24"/>
          <w:szCs w:val="24"/>
        </w:rPr>
        <w:t xml:space="preserve"> about three years for changes in housing prices to feed through in any significant way to property tax revenues.  His empirical results suggest a long-run elasticity of property tax revenue with respect to home prices of only 0.4, in part because it takes time for local officials to adjust assessed values to market values and in part because local officials generally reduce millage rates in response to increases in housing prices.  He also finds asymmetric responses of property tax revenues to increases versus decreases in home prices.  Relatedly, Lutz, Molloy, </w:t>
      </w:r>
      <w:r w:rsidR="00197294">
        <w:rPr>
          <w:rFonts w:ascii="Times New Roman" w:hAnsi="Times New Roman" w:cs="Times New Roman"/>
          <w:sz w:val="24"/>
          <w:szCs w:val="24"/>
        </w:rPr>
        <w:t>and Shan (2011</w:t>
      </w:r>
      <w:r w:rsidR="00197294" w:rsidRPr="00197294">
        <w:rPr>
          <w:rFonts w:ascii="Times New Roman" w:hAnsi="Times New Roman" w:cs="Times New Roman"/>
          <w:sz w:val="24"/>
          <w:szCs w:val="24"/>
        </w:rPr>
        <w:t>) present evidence that the non-property tax channels have been of relatively little importance in their effects on state and local government revenues, either in the housing market boom/bubble of the early-to-mid-2000s or in the more recent collapse of housing prices during the Great Recession.</w:t>
      </w:r>
    </w:p>
    <w:p w:rsidR="00F64938" w:rsidRDefault="00197294">
      <w:pPr>
        <w:spacing w:after="0" w:line="480" w:lineRule="auto"/>
        <w:ind w:firstLine="720"/>
        <w:rPr>
          <w:rFonts w:ascii="Times New Roman" w:hAnsi="Times New Roman" w:cs="Times New Roman"/>
          <w:sz w:val="24"/>
          <w:szCs w:val="24"/>
        </w:rPr>
      </w:pPr>
      <w:r w:rsidRPr="00197294">
        <w:rPr>
          <w:rFonts w:ascii="Times New Roman" w:hAnsi="Times New Roman" w:cs="Times New Roman"/>
          <w:sz w:val="24"/>
          <w:szCs w:val="24"/>
        </w:rPr>
        <w:t xml:space="preserve">Doerner and </w:t>
      </w:r>
      <w:r>
        <w:rPr>
          <w:rFonts w:ascii="Times New Roman" w:hAnsi="Times New Roman" w:cs="Times New Roman"/>
          <w:sz w:val="24"/>
          <w:szCs w:val="24"/>
        </w:rPr>
        <w:t>Ihlanfeldt (2011</w:t>
      </w:r>
      <w:r w:rsidRPr="00197294">
        <w:rPr>
          <w:rFonts w:ascii="Times New Roman" w:hAnsi="Times New Roman" w:cs="Times New Roman"/>
          <w:sz w:val="24"/>
          <w:szCs w:val="24"/>
        </w:rPr>
        <w:t xml:space="preserve">) focus more directly on the effects of house prices on local government revenues, using detailed panel data on Florida home prices during the 2000s.  They conclude that changes in the real price of Florida single-family housing have an asymmetric effect on government revenues: </w:t>
      </w:r>
      <w:r w:rsidR="00F64938">
        <w:rPr>
          <w:rFonts w:ascii="Times New Roman" w:hAnsi="Times New Roman" w:cs="Times New Roman"/>
          <w:sz w:val="24"/>
          <w:szCs w:val="24"/>
        </w:rPr>
        <w:t xml:space="preserve">housing </w:t>
      </w:r>
      <w:r w:rsidRPr="00197294">
        <w:rPr>
          <w:rFonts w:ascii="Times New Roman" w:hAnsi="Times New Roman" w:cs="Times New Roman"/>
          <w:sz w:val="24"/>
          <w:szCs w:val="24"/>
        </w:rPr>
        <w:t>price increases do not raise real per capita</w:t>
      </w:r>
      <w:r w:rsidR="00F64938">
        <w:rPr>
          <w:rFonts w:ascii="Times New Roman" w:hAnsi="Times New Roman" w:cs="Times New Roman"/>
          <w:sz w:val="24"/>
          <w:szCs w:val="24"/>
        </w:rPr>
        <w:t xml:space="preserve"> property tax</w:t>
      </w:r>
      <w:r w:rsidRPr="00197294">
        <w:rPr>
          <w:rFonts w:ascii="Times New Roman" w:hAnsi="Times New Roman" w:cs="Times New Roman"/>
          <w:sz w:val="24"/>
          <w:szCs w:val="24"/>
        </w:rPr>
        <w:t xml:space="preserve"> revenues, but decreases tend to dampen revenues. Like Lutz (2008), they conclude that these asymmetric responses are due largely to lags between changes (positive or negative) in market prices and assessed values, to </w:t>
      </w:r>
      <w:r w:rsidRPr="00197294">
        <w:rPr>
          <w:rFonts w:ascii="Times New Roman" w:hAnsi="Times New Roman" w:cs="Times New Roman"/>
          <w:sz w:val="24"/>
          <w:szCs w:val="24"/>
        </w:rPr>
        <w:lastRenderedPageBreak/>
        <w:t xml:space="preserve">caps on assessment increases, and to decreases in millage rates in response to increases in home prices.  They also find that the indirect links between home prices and local government revenues (e.g., </w:t>
      </w:r>
      <w:r w:rsidR="00BE3A87">
        <w:rPr>
          <w:rFonts w:ascii="Times New Roman" w:hAnsi="Times New Roman" w:cs="Times New Roman"/>
          <w:sz w:val="24"/>
          <w:szCs w:val="24"/>
        </w:rPr>
        <w:t xml:space="preserve">real </w:t>
      </w:r>
      <w:r w:rsidRPr="00197294">
        <w:rPr>
          <w:rFonts w:ascii="Times New Roman" w:hAnsi="Times New Roman" w:cs="Times New Roman"/>
          <w:sz w:val="24"/>
          <w:szCs w:val="24"/>
        </w:rPr>
        <w:t>estate transfer taxes, sales tax revenues on home construction materials, income taxes on construction-related employment, wealth effects from home values on sales tax revenues) are generally small, with the exception of an additional channel via impact fees, which are of some importance for many Florida local governments and which are affected in significant ways by changes in home prices.</w:t>
      </w:r>
      <w:r w:rsidR="00F64938">
        <w:rPr>
          <w:rFonts w:ascii="Times New Roman" w:hAnsi="Times New Roman" w:cs="Times New Roman"/>
          <w:sz w:val="24"/>
          <w:szCs w:val="24"/>
        </w:rPr>
        <w:t xml:space="preserve"> There is s</w:t>
      </w:r>
      <w:r w:rsidRPr="00197294">
        <w:rPr>
          <w:rFonts w:ascii="Times New Roman" w:hAnsi="Times New Roman" w:cs="Times New Roman"/>
          <w:sz w:val="24"/>
          <w:szCs w:val="24"/>
        </w:rPr>
        <w:t xml:space="preserve">ome other recent work </w:t>
      </w:r>
      <w:r w:rsidR="00F64938">
        <w:rPr>
          <w:rFonts w:ascii="Times New Roman" w:hAnsi="Times New Roman" w:cs="Times New Roman"/>
          <w:sz w:val="24"/>
          <w:szCs w:val="24"/>
        </w:rPr>
        <w:t xml:space="preserve">that </w:t>
      </w:r>
      <w:r w:rsidRPr="00197294">
        <w:rPr>
          <w:rFonts w:ascii="Times New Roman" w:hAnsi="Times New Roman" w:cs="Times New Roman"/>
          <w:sz w:val="24"/>
          <w:szCs w:val="24"/>
        </w:rPr>
        <w:t>focuses more specifically on the effects of property tax limitations on local government revenues</w:t>
      </w:r>
      <w:r w:rsidR="00F64938">
        <w:rPr>
          <w:rFonts w:ascii="Times New Roman" w:hAnsi="Times New Roman" w:cs="Times New Roman"/>
          <w:sz w:val="24"/>
          <w:szCs w:val="24"/>
        </w:rPr>
        <w:t>, but this is not directly relevant to the current research</w:t>
      </w:r>
      <w:r w:rsidRPr="00197294">
        <w:rPr>
          <w:rFonts w:ascii="Times New Roman" w:hAnsi="Times New Roman" w:cs="Times New Roman"/>
          <w:sz w:val="24"/>
          <w:szCs w:val="24"/>
        </w:rPr>
        <w:t>.</w:t>
      </w:r>
      <w:r w:rsidRPr="00197294">
        <w:rPr>
          <w:rStyle w:val="FootnoteReference"/>
          <w:rFonts w:ascii="Times New Roman" w:hAnsi="Times New Roman" w:cs="Times New Roman"/>
          <w:sz w:val="24"/>
          <w:szCs w:val="24"/>
        </w:rPr>
        <w:footnoteReference w:id="5"/>
      </w:r>
      <w:r w:rsidRPr="00197294">
        <w:rPr>
          <w:rFonts w:ascii="Times New Roman" w:hAnsi="Times New Roman" w:cs="Times New Roman"/>
          <w:sz w:val="24"/>
          <w:szCs w:val="24"/>
        </w:rPr>
        <w:t xml:space="preserve">  </w:t>
      </w:r>
    </w:p>
    <w:p w:rsidR="006775C9" w:rsidRDefault="00746B15">
      <w:pPr>
        <w:spacing w:after="0" w:line="480" w:lineRule="auto"/>
        <w:ind w:firstLine="720"/>
        <w:rPr>
          <w:rFonts w:ascii="Times New Roman" w:hAnsi="Times New Roman" w:cs="Times New Roman"/>
          <w:sz w:val="24"/>
          <w:szCs w:val="24"/>
        </w:rPr>
      </w:pPr>
      <w:r w:rsidRPr="006D3591">
        <w:rPr>
          <w:rFonts w:ascii="Times New Roman" w:hAnsi="Times New Roman" w:cs="Times New Roman"/>
          <w:sz w:val="24"/>
          <w:szCs w:val="24"/>
        </w:rPr>
        <w:t>Alm, Buschman, and Sjoquist</w:t>
      </w:r>
      <w:r w:rsidR="008A133F">
        <w:rPr>
          <w:rFonts w:ascii="Times New Roman" w:hAnsi="Times New Roman" w:cs="Times New Roman"/>
          <w:sz w:val="24"/>
          <w:szCs w:val="24"/>
        </w:rPr>
        <w:t xml:space="preserve"> (</w:t>
      </w:r>
      <w:r w:rsidRPr="006D3591">
        <w:rPr>
          <w:rFonts w:ascii="Times New Roman" w:hAnsi="Times New Roman" w:cs="Times New Roman"/>
          <w:sz w:val="24"/>
          <w:szCs w:val="24"/>
        </w:rPr>
        <w:t>2011)</w:t>
      </w:r>
      <w:r w:rsidR="008A133F">
        <w:rPr>
          <w:rFonts w:ascii="Times New Roman" w:hAnsi="Times New Roman" w:cs="Times New Roman"/>
          <w:sz w:val="24"/>
          <w:szCs w:val="24"/>
        </w:rPr>
        <w:t xml:space="preserve"> </w:t>
      </w:r>
      <w:r w:rsidRPr="006D3591">
        <w:rPr>
          <w:rFonts w:ascii="Times New Roman" w:hAnsi="Times New Roman" w:cs="Times New Roman"/>
          <w:sz w:val="24"/>
          <w:szCs w:val="24"/>
        </w:rPr>
        <w:t xml:space="preserve">document the overall </w:t>
      </w:r>
      <w:r w:rsidR="00BE3A87">
        <w:rPr>
          <w:rFonts w:ascii="Times New Roman" w:hAnsi="Times New Roman" w:cs="Times New Roman"/>
          <w:sz w:val="24"/>
          <w:szCs w:val="24"/>
        </w:rPr>
        <w:t>trends</w:t>
      </w:r>
      <w:r w:rsidR="00BE3A87" w:rsidRPr="006D3591">
        <w:rPr>
          <w:rFonts w:ascii="Times New Roman" w:hAnsi="Times New Roman" w:cs="Times New Roman"/>
          <w:sz w:val="24"/>
          <w:szCs w:val="24"/>
        </w:rPr>
        <w:t xml:space="preserve"> </w:t>
      </w:r>
      <w:r w:rsidRPr="006D3591">
        <w:rPr>
          <w:rFonts w:ascii="Times New Roman" w:hAnsi="Times New Roman" w:cs="Times New Roman"/>
          <w:sz w:val="24"/>
          <w:szCs w:val="24"/>
        </w:rPr>
        <w:t xml:space="preserve">in property </w:t>
      </w:r>
      <w:r w:rsidR="00BE3A87">
        <w:rPr>
          <w:rFonts w:ascii="Times New Roman" w:hAnsi="Times New Roman" w:cs="Times New Roman"/>
          <w:sz w:val="24"/>
          <w:szCs w:val="24"/>
        </w:rPr>
        <w:t>tax revenues</w:t>
      </w:r>
      <w:r w:rsidR="00BE3A87" w:rsidRPr="006D3591">
        <w:rPr>
          <w:rFonts w:ascii="Times New Roman" w:hAnsi="Times New Roman" w:cs="Times New Roman"/>
          <w:sz w:val="24"/>
          <w:szCs w:val="24"/>
        </w:rPr>
        <w:t xml:space="preserve"> </w:t>
      </w:r>
      <w:r w:rsidRPr="006D3591">
        <w:rPr>
          <w:rFonts w:ascii="Times New Roman" w:hAnsi="Times New Roman" w:cs="Times New Roman"/>
          <w:sz w:val="24"/>
          <w:szCs w:val="24"/>
        </w:rPr>
        <w:t xml:space="preserve">in the </w:t>
      </w:r>
      <w:r w:rsidRPr="00200225">
        <w:rPr>
          <w:rFonts w:ascii="Times New Roman" w:hAnsi="Times New Roman" w:cs="Times New Roman"/>
          <w:sz w:val="24"/>
          <w:szCs w:val="24"/>
        </w:rPr>
        <w:t xml:space="preserve">United States </w:t>
      </w:r>
      <w:r w:rsidR="00200225" w:rsidRPr="00200225">
        <w:rPr>
          <w:rFonts w:ascii="Times New Roman" w:hAnsi="Times New Roman" w:cs="Times New Roman"/>
          <w:sz w:val="24"/>
          <w:szCs w:val="24"/>
        </w:rPr>
        <w:t>from 1998 through 2009</w:t>
      </w:r>
      <w:r w:rsidRPr="00200225">
        <w:rPr>
          <w:rFonts w:ascii="Times New Roman" w:hAnsi="Times New Roman" w:cs="Times New Roman"/>
          <w:sz w:val="24"/>
          <w:szCs w:val="24"/>
        </w:rPr>
        <w:t xml:space="preserve">, and </w:t>
      </w:r>
      <w:r w:rsidR="00BF0FF4">
        <w:rPr>
          <w:rFonts w:ascii="Times New Roman" w:hAnsi="Times New Roman" w:cs="Times New Roman"/>
          <w:sz w:val="24"/>
          <w:szCs w:val="24"/>
        </w:rPr>
        <w:t xml:space="preserve">they </w:t>
      </w:r>
      <w:r w:rsidRPr="00200225">
        <w:rPr>
          <w:rFonts w:ascii="Times New Roman" w:hAnsi="Times New Roman" w:cs="Times New Roman"/>
          <w:sz w:val="24"/>
          <w:szCs w:val="24"/>
        </w:rPr>
        <w:t>f</w:t>
      </w:r>
      <w:r w:rsidR="00BF0FF4">
        <w:rPr>
          <w:rFonts w:ascii="Times New Roman" w:hAnsi="Times New Roman" w:cs="Times New Roman"/>
          <w:sz w:val="24"/>
          <w:szCs w:val="24"/>
        </w:rPr>
        <w:t>ind</w:t>
      </w:r>
      <w:r w:rsidRPr="00200225">
        <w:rPr>
          <w:rFonts w:ascii="Times New Roman" w:hAnsi="Times New Roman" w:cs="Times New Roman"/>
          <w:sz w:val="24"/>
          <w:szCs w:val="24"/>
        </w:rPr>
        <w:t xml:space="preserve"> substantial regional and local variation.  </w:t>
      </w:r>
      <w:r w:rsidR="00244C35">
        <w:rPr>
          <w:rFonts w:ascii="Times New Roman" w:hAnsi="Times New Roman" w:cs="Times New Roman"/>
          <w:sz w:val="24"/>
          <w:szCs w:val="24"/>
        </w:rPr>
        <w:t>T</w:t>
      </w:r>
      <w:r w:rsidR="008A133F" w:rsidRPr="00200225">
        <w:rPr>
          <w:rFonts w:ascii="Times New Roman" w:hAnsi="Times New Roman" w:cs="Times New Roman"/>
          <w:sz w:val="24"/>
          <w:szCs w:val="24"/>
        </w:rPr>
        <w:t>heir</w:t>
      </w:r>
      <w:r w:rsidR="00BF0FF4">
        <w:rPr>
          <w:rFonts w:ascii="Times New Roman" w:hAnsi="Times New Roman" w:cs="Times New Roman"/>
          <w:sz w:val="24"/>
          <w:szCs w:val="24"/>
        </w:rPr>
        <w:t xml:space="preserve"> data indicate that </w:t>
      </w:r>
      <w:r w:rsidRPr="00200225">
        <w:rPr>
          <w:rFonts w:ascii="Times New Roman" w:hAnsi="Times New Roman" w:cs="Times New Roman"/>
          <w:sz w:val="24"/>
          <w:szCs w:val="24"/>
        </w:rPr>
        <w:t>local governments</w:t>
      </w:r>
      <w:r w:rsidR="00244C35">
        <w:rPr>
          <w:rFonts w:ascii="Times New Roman" w:hAnsi="Times New Roman" w:cs="Times New Roman"/>
          <w:sz w:val="24"/>
          <w:szCs w:val="24"/>
        </w:rPr>
        <w:t>, on average,</w:t>
      </w:r>
      <w:r w:rsidRPr="00200225">
        <w:rPr>
          <w:rFonts w:ascii="Times New Roman" w:hAnsi="Times New Roman" w:cs="Times New Roman"/>
          <w:sz w:val="24"/>
          <w:szCs w:val="24"/>
        </w:rPr>
        <w:t xml:space="preserve"> seem to have avoided the significant and negative budgetary impacts seen most clearly for state and federal governments, at least </w:t>
      </w:r>
      <w:r w:rsidR="0024255D">
        <w:rPr>
          <w:rFonts w:ascii="Times New Roman" w:hAnsi="Times New Roman" w:cs="Times New Roman"/>
          <w:sz w:val="24"/>
          <w:szCs w:val="24"/>
        </w:rPr>
        <w:t>through 2009</w:t>
      </w:r>
      <w:r w:rsidRPr="00200225">
        <w:rPr>
          <w:rFonts w:ascii="Times New Roman" w:hAnsi="Times New Roman" w:cs="Times New Roman"/>
          <w:sz w:val="24"/>
          <w:szCs w:val="24"/>
        </w:rPr>
        <w:t xml:space="preserve">.  </w:t>
      </w:r>
      <w:r w:rsidR="00200225" w:rsidRPr="00200225">
        <w:rPr>
          <w:rFonts w:ascii="Times New Roman" w:hAnsi="Times New Roman" w:cs="Times New Roman"/>
          <w:sz w:val="24"/>
          <w:szCs w:val="24"/>
        </w:rPr>
        <w:t>Alm, Buschman, and Sjoquist (20</w:t>
      </w:r>
      <w:r w:rsidR="00816B25">
        <w:rPr>
          <w:rFonts w:ascii="Times New Roman" w:hAnsi="Times New Roman" w:cs="Times New Roman"/>
          <w:sz w:val="24"/>
          <w:szCs w:val="24"/>
        </w:rPr>
        <w:t>09</w:t>
      </w:r>
      <w:r w:rsidR="00200225" w:rsidRPr="00200225">
        <w:rPr>
          <w:rFonts w:ascii="Times New Roman" w:hAnsi="Times New Roman" w:cs="Times New Roman"/>
          <w:sz w:val="24"/>
          <w:szCs w:val="24"/>
        </w:rPr>
        <w:t>)</w:t>
      </w:r>
      <w:r w:rsidR="00816B25" w:rsidRPr="00200225">
        <w:rPr>
          <w:rFonts w:ascii="Times New Roman" w:hAnsi="Times New Roman" w:cs="Times New Roman"/>
          <w:sz w:val="24"/>
          <w:szCs w:val="24"/>
        </w:rPr>
        <w:t xml:space="preserve"> examine the </w:t>
      </w:r>
      <w:r w:rsidR="00816B25">
        <w:rPr>
          <w:rFonts w:ascii="Times New Roman" w:hAnsi="Times New Roman" w:cs="Times New Roman"/>
          <w:sz w:val="24"/>
          <w:szCs w:val="24"/>
        </w:rPr>
        <w:t xml:space="preserve">effect of </w:t>
      </w:r>
      <w:r w:rsidR="00F64938">
        <w:rPr>
          <w:rFonts w:ascii="Times New Roman" w:hAnsi="Times New Roman" w:cs="Times New Roman"/>
          <w:sz w:val="24"/>
          <w:szCs w:val="24"/>
        </w:rPr>
        <w:t xml:space="preserve">economic conditions on </w:t>
      </w:r>
      <w:r w:rsidR="00816B25">
        <w:rPr>
          <w:rFonts w:ascii="Times New Roman" w:hAnsi="Times New Roman" w:cs="Times New Roman"/>
          <w:sz w:val="24"/>
          <w:szCs w:val="24"/>
        </w:rPr>
        <w:t xml:space="preserve">education expenditures for the </w:t>
      </w:r>
      <w:r w:rsidR="00816B25" w:rsidRPr="00200225">
        <w:rPr>
          <w:rFonts w:ascii="Times New Roman" w:hAnsi="Times New Roman" w:cs="Times New Roman"/>
          <w:sz w:val="24"/>
          <w:szCs w:val="24"/>
        </w:rPr>
        <w:t>199</w:t>
      </w:r>
      <w:r w:rsidR="00816B25">
        <w:rPr>
          <w:rFonts w:ascii="Times New Roman" w:hAnsi="Times New Roman" w:cs="Times New Roman"/>
          <w:sz w:val="24"/>
          <w:szCs w:val="24"/>
        </w:rPr>
        <w:t>0</w:t>
      </w:r>
      <w:r w:rsidR="00816B25" w:rsidRPr="00200225">
        <w:rPr>
          <w:rFonts w:ascii="Times New Roman" w:hAnsi="Times New Roman" w:cs="Times New Roman"/>
          <w:sz w:val="24"/>
          <w:szCs w:val="24"/>
        </w:rPr>
        <w:t>-20</w:t>
      </w:r>
      <w:r w:rsidR="00816B25">
        <w:rPr>
          <w:rFonts w:ascii="Times New Roman" w:hAnsi="Times New Roman" w:cs="Times New Roman"/>
          <w:sz w:val="24"/>
          <w:szCs w:val="24"/>
        </w:rPr>
        <w:t>06</w:t>
      </w:r>
      <w:r w:rsidR="00816B25" w:rsidRPr="00200225">
        <w:rPr>
          <w:rFonts w:ascii="Times New Roman" w:hAnsi="Times New Roman" w:cs="Times New Roman"/>
          <w:sz w:val="24"/>
          <w:szCs w:val="24"/>
        </w:rPr>
        <w:t xml:space="preserve"> period, </w:t>
      </w:r>
      <w:r w:rsidR="00816B25">
        <w:rPr>
          <w:rFonts w:ascii="Times New Roman" w:hAnsi="Times New Roman" w:cs="Times New Roman"/>
          <w:sz w:val="24"/>
          <w:szCs w:val="24"/>
        </w:rPr>
        <w:t>a period that covers two recessions.</w:t>
      </w:r>
      <w:r w:rsidR="00816B25" w:rsidDel="00F95569">
        <w:rPr>
          <w:rFonts w:ascii="Times New Roman" w:hAnsi="Times New Roman" w:cs="Times New Roman"/>
          <w:sz w:val="24"/>
          <w:szCs w:val="24"/>
        </w:rPr>
        <w:t xml:space="preserve"> </w:t>
      </w:r>
      <w:r w:rsidR="00816B25" w:rsidRPr="00200225">
        <w:rPr>
          <w:rFonts w:ascii="Times New Roman" w:hAnsi="Times New Roman" w:cs="Times New Roman"/>
          <w:sz w:val="24"/>
          <w:szCs w:val="24"/>
        </w:rPr>
        <w:t xml:space="preserve"> </w:t>
      </w:r>
      <w:r w:rsidR="00816B25">
        <w:rPr>
          <w:rFonts w:ascii="Times New Roman" w:hAnsi="Times New Roman" w:cs="Times New Roman"/>
          <w:sz w:val="24"/>
          <w:szCs w:val="24"/>
        </w:rPr>
        <w:t>In related work,</w:t>
      </w:r>
      <w:r w:rsidR="00816B25" w:rsidRPr="00816B25">
        <w:rPr>
          <w:rFonts w:ascii="Times New Roman" w:hAnsi="Times New Roman" w:cs="Times New Roman"/>
          <w:sz w:val="24"/>
          <w:szCs w:val="24"/>
        </w:rPr>
        <w:t xml:space="preserve"> </w:t>
      </w:r>
      <w:r w:rsidR="00816B25">
        <w:rPr>
          <w:rFonts w:ascii="Times New Roman" w:hAnsi="Times New Roman" w:cs="Times New Roman"/>
          <w:sz w:val="24"/>
          <w:szCs w:val="24"/>
        </w:rPr>
        <w:t xml:space="preserve">Alm and Sjoquist (2009) </w:t>
      </w:r>
      <w:r w:rsidR="00200225" w:rsidRPr="00200225">
        <w:rPr>
          <w:rFonts w:ascii="Times New Roman" w:hAnsi="Times New Roman" w:cs="Times New Roman"/>
          <w:sz w:val="24"/>
          <w:szCs w:val="24"/>
        </w:rPr>
        <w:t xml:space="preserve">examine the </w:t>
      </w:r>
      <w:r w:rsidR="00816B25">
        <w:rPr>
          <w:rFonts w:ascii="Times New Roman" w:hAnsi="Times New Roman" w:cs="Times New Roman"/>
          <w:sz w:val="24"/>
          <w:szCs w:val="24"/>
        </w:rPr>
        <w:t>the impact of economic factors on Georgia school system finances</w:t>
      </w:r>
      <w:r w:rsidR="00816B25" w:rsidRPr="00200225">
        <w:rPr>
          <w:rFonts w:ascii="Times New Roman" w:hAnsi="Times New Roman" w:cs="Times New Roman"/>
          <w:sz w:val="24"/>
          <w:szCs w:val="24"/>
        </w:rPr>
        <w:t xml:space="preserve"> </w:t>
      </w:r>
      <w:r w:rsidR="00200225" w:rsidRPr="00200225">
        <w:rPr>
          <w:rFonts w:ascii="Times New Roman" w:hAnsi="Times New Roman" w:cs="Times New Roman"/>
          <w:sz w:val="24"/>
          <w:szCs w:val="24"/>
        </w:rPr>
        <w:t>for the 1998-2009 period, using detailed information on property tax assessments and property tax rates</w:t>
      </w:r>
      <w:r w:rsidR="00816B25">
        <w:rPr>
          <w:rFonts w:ascii="Times New Roman" w:hAnsi="Times New Roman" w:cs="Times New Roman"/>
          <w:sz w:val="24"/>
          <w:szCs w:val="24"/>
        </w:rPr>
        <w:t>,</w:t>
      </w:r>
      <w:r w:rsidR="00200225" w:rsidRPr="00200225">
        <w:rPr>
          <w:rFonts w:ascii="Times New Roman" w:hAnsi="Times New Roman" w:cs="Times New Roman"/>
          <w:sz w:val="24"/>
          <w:szCs w:val="24"/>
        </w:rPr>
        <w:t xml:space="preserve"> </w:t>
      </w:r>
      <w:r w:rsidR="00816B25">
        <w:rPr>
          <w:rFonts w:ascii="Times New Roman" w:hAnsi="Times New Roman" w:cs="Times New Roman"/>
          <w:sz w:val="24"/>
          <w:szCs w:val="24"/>
        </w:rPr>
        <w:t xml:space="preserve">and show the relevance of economic factors (including </w:t>
      </w:r>
      <w:r w:rsidR="00816B25" w:rsidRPr="000B0316">
        <w:rPr>
          <w:rFonts w:ascii="Times New Roman" w:hAnsi="Times New Roman" w:cs="Times New Roman"/>
          <w:sz w:val="24"/>
          <w:szCs w:val="24"/>
          <w:u w:val="single"/>
        </w:rPr>
        <w:t>state</w:t>
      </w:r>
      <w:r w:rsidR="00816B25">
        <w:rPr>
          <w:rFonts w:ascii="Times New Roman" w:hAnsi="Times New Roman" w:cs="Times New Roman"/>
          <w:sz w:val="24"/>
          <w:szCs w:val="24"/>
        </w:rPr>
        <w:t xml:space="preserve"> responses to </w:t>
      </w:r>
      <w:r w:rsidR="00816B25" w:rsidRPr="000B0316">
        <w:rPr>
          <w:rFonts w:ascii="Times New Roman" w:hAnsi="Times New Roman" w:cs="Times New Roman"/>
          <w:sz w:val="24"/>
          <w:szCs w:val="24"/>
          <w:u w:val="single"/>
        </w:rPr>
        <w:t>local</w:t>
      </w:r>
      <w:r w:rsidR="00816B25">
        <w:rPr>
          <w:rFonts w:ascii="Times New Roman" w:hAnsi="Times New Roman" w:cs="Times New Roman"/>
          <w:sz w:val="24"/>
          <w:szCs w:val="24"/>
        </w:rPr>
        <w:t xml:space="preserve"> school district conditions).  </w:t>
      </w:r>
      <w:r w:rsidRPr="00200225">
        <w:rPr>
          <w:rFonts w:ascii="Times New Roman" w:hAnsi="Times New Roman" w:cs="Times New Roman"/>
          <w:sz w:val="24"/>
          <w:szCs w:val="24"/>
        </w:rPr>
        <w:t xml:space="preserve">However, </w:t>
      </w:r>
      <w:r w:rsidR="00E55B68">
        <w:rPr>
          <w:rFonts w:ascii="Times New Roman" w:hAnsi="Times New Roman" w:cs="Times New Roman"/>
          <w:sz w:val="24"/>
          <w:szCs w:val="24"/>
        </w:rPr>
        <w:t xml:space="preserve">the last </w:t>
      </w:r>
      <w:r w:rsidR="00BF0FF4">
        <w:rPr>
          <w:rFonts w:ascii="Times New Roman" w:hAnsi="Times New Roman" w:cs="Times New Roman"/>
          <w:sz w:val="24"/>
          <w:szCs w:val="24"/>
        </w:rPr>
        <w:t xml:space="preserve">year for their </w:t>
      </w:r>
      <w:r w:rsidRPr="00200225">
        <w:rPr>
          <w:rFonts w:ascii="Times New Roman" w:hAnsi="Times New Roman" w:cs="Times New Roman"/>
          <w:sz w:val="24"/>
          <w:szCs w:val="24"/>
        </w:rPr>
        <w:t>data</w:t>
      </w:r>
      <w:r w:rsidR="00BF0FF4">
        <w:rPr>
          <w:rFonts w:ascii="Times New Roman" w:hAnsi="Times New Roman" w:cs="Times New Roman"/>
          <w:sz w:val="24"/>
          <w:szCs w:val="24"/>
        </w:rPr>
        <w:t xml:space="preserve"> (or 2009)</w:t>
      </w:r>
      <w:r w:rsidRPr="00200225">
        <w:rPr>
          <w:rFonts w:ascii="Times New Roman" w:hAnsi="Times New Roman" w:cs="Times New Roman"/>
          <w:sz w:val="24"/>
          <w:szCs w:val="24"/>
        </w:rPr>
        <w:t xml:space="preserve"> </w:t>
      </w:r>
      <w:r w:rsidR="00E55B68">
        <w:rPr>
          <w:rFonts w:ascii="Times New Roman" w:hAnsi="Times New Roman" w:cs="Times New Roman"/>
          <w:sz w:val="24"/>
          <w:szCs w:val="24"/>
        </w:rPr>
        <w:t>reflected</w:t>
      </w:r>
      <w:r w:rsidR="00E55B68" w:rsidRPr="00200225">
        <w:rPr>
          <w:rFonts w:ascii="Times New Roman" w:hAnsi="Times New Roman" w:cs="Times New Roman"/>
          <w:sz w:val="24"/>
          <w:szCs w:val="24"/>
        </w:rPr>
        <w:t xml:space="preserve"> </w:t>
      </w:r>
      <w:r w:rsidRPr="00200225">
        <w:rPr>
          <w:rFonts w:ascii="Times New Roman" w:hAnsi="Times New Roman" w:cs="Times New Roman"/>
          <w:sz w:val="24"/>
          <w:szCs w:val="24"/>
        </w:rPr>
        <w:t>only the very start of the ho</w:t>
      </w:r>
      <w:r w:rsidR="006775C9">
        <w:rPr>
          <w:rFonts w:ascii="Times New Roman" w:hAnsi="Times New Roman" w:cs="Times New Roman"/>
          <w:sz w:val="24"/>
          <w:szCs w:val="24"/>
        </w:rPr>
        <w:t>using crisis</w:t>
      </w:r>
      <w:r w:rsidR="00F64938">
        <w:rPr>
          <w:rFonts w:ascii="Times New Roman" w:hAnsi="Times New Roman" w:cs="Times New Roman"/>
          <w:sz w:val="24"/>
          <w:szCs w:val="24"/>
        </w:rPr>
        <w:t xml:space="preserve"> associated with the Great Recession</w:t>
      </w:r>
      <w:r w:rsidR="006775C9">
        <w:rPr>
          <w:rFonts w:ascii="Times New Roman" w:hAnsi="Times New Roman" w:cs="Times New Roman"/>
          <w:sz w:val="24"/>
          <w:szCs w:val="24"/>
        </w:rPr>
        <w:t>.</w:t>
      </w:r>
      <w:r w:rsidR="00F64938">
        <w:rPr>
          <w:rFonts w:ascii="Times New Roman" w:hAnsi="Times New Roman" w:cs="Times New Roman"/>
          <w:sz w:val="24"/>
          <w:szCs w:val="24"/>
        </w:rPr>
        <w:t xml:space="preserve"> </w:t>
      </w:r>
    </w:p>
    <w:p w:rsidR="00197294" w:rsidRDefault="008A133F" w:rsidP="000A2EF1">
      <w:pPr>
        <w:spacing w:after="0" w:line="480" w:lineRule="auto"/>
        <w:ind w:firstLine="720"/>
        <w:rPr>
          <w:rFonts w:ascii="Times New Roman" w:hAnsi="Times New Roman" w:cs="Times New Roman"/>
          <w:sz w:val="24"/>
          <w:szCs w:val="24"/>
        </w:rPr>
      </w:pPr>
      <w:r w:rsidRPr="00200225">
        <w:rPr>
          <w:rFonts w:ascii="Times New Roman" w:hAnsi="Times New Roman" w:cs="Times New Roman"/>
          <w:sz w:val="24"/>
          <w:szCs w:val="24"/>
        </w:rPr>
        <w:lastRenderedPageBreak/>
        <w:t xml:space="preserve">Importantly, none of these studies </w:t>
      </w:r>
      <w:r w:rsidR="00746B15" w:rsidRPr="00200225">
        <w:rPr>
          <w:rFonts w:ascii="Times New Roman" w:hAnsi="Times New Roman" w:cs="Times New Roman"/>
          <w:sz w:val="24"/>
          <w:szCs w:val="24"/>
        </w:rPr>
        <w:t xml:space="preserve">examine the impact of foreclosures per se on property tax revenues.  </w:t>
      </w:r>
      <w:r w:rsidR="00197294" w:rsidRPr="00200225">
        <w:rPr>
          <w:rFonts w:ascii="Times New Roman" w:hAnsi="Times New Roman" w:cs="Times New Roman"/>
          <w:sz w:val="24"/>
          <w:szCs w:val="24"/>
        </w:rPr>
        <w:t>The next section discuss</w:t>
      </w:r>
      <w:r w:rsidRPr="00200225">
        <w:rPr>
          <w:rFonts w:ascii="Times New Roman" w:hAnsi="Times New Roman" w:cs="Times New Roman"/>
          <w:sz w:val="24"/>
          <w:szCs w:val="24"/>
        </w:rPr>
        <w:t>es</w:t>
      </w:r>
      <w:r w:rsidR="00197294" w:rsidRPr="00200225">
        <w:rPr>
          <w:rFonts w:ascii="Times New Roman" w:hAnsi="Times New Roman" w:cs="Times New Roman"/>
          <w:sz w:val="24"/>
          <w:szCs w:val="24"/>
        </w:rPr>
        <w:t xml:space="preserve"> </w:t>
      </w:r>
      <w:r w:rsidR="007C19BF">
        <w:rPr>
          <w:rFonts w:ascii="Times New Roman" w:hAnsi="Times New Roman" w:cs="Times New Roman"/>
          <w:sz w:val="24"/>
          <w:szCs w:val="24"/>
        </w:rPr>
        <w:t xml:space="preserve">the foreclosure process in Georgia, and the following sections present </w:t>
      </w:r>
      <w:r w:rsidR="00197294" w:rsidRPr="00200225">
        <w:rPr>
          <w:rFonts w:ascii="Times New Roman" w:hAnsi="Times New Roman" w:cs="Times New Roman"/>
          <w:sz w:val="24"/>
          <w:szCs w:val="24"/>
        </w:rPr>
        <w:t xml:space="preserve">our </w:t>
      </w:r>
      <w:r w:rsidR="006775C9">
        <w:rPr>
          <w:rFonts w:ascii="Times New Roman" w:hAnsi="Times New Roman" w:cs="Times New Roman"/>
          <w:sz w:val="24"/>
          <w:szCs w:val="24"/>
        </w:rPr>
        <w:t>data</w:t>
      </w:r>
      <w:r w:rsidR="007C19BF">
        <w:rPr>
          <w:rFonts w:ascii="Times New Roman" w:hAnsi="Times New Roman" w:cs="Times New Roman"/>
          <w:sz w:val="24"/>
          <w:szCs w:val="24"/>
        </w:rPr>
        <w:t>,</w:t>
      </w:r>
      <w:r w:rsidR="006775C9">
        <w:rPr>
          <w:rFonts w:ascii="Times New Roman" w:hAnsi="Times New Roman" w:cs="Times New Roman"/>
          <w:sz w:val="24"/>
          <w:szCs w:val="24"/>
        </w:rPr>
        <w:t xml:space="preserve"> our </w:t>
      </w:r>
      <w:r w:rsidR="00197294" w:rsidRPr="00200225">
        <w:rPr>
          <w:rFonts w:ascii="Times New Roman" w:hAnsi="Times New Roman" w:cs="Times New Roman"/>
          <w:sz w:val="24"/>
          <w:szCs w:val="24"/>
        </w:rPr>
        <w:t xml:space="preserve">approach for </w:t>
      </w:r>
      <w:r w:rsidRPr="00200225">
        <w:rPr>
          <w:rFonts w:ascii="Times New Roman" w:hAnsi="Times New Roman" w:cs="Times New Roman"/>
          <w:sz w:val="24"/>
          <w:szCs w:val="24"/>
        </w:rPr>
        <w:t>examining this issue</w:t>
      </w:r>
      <w:r w:rsidR="007C19BF">
        <w:rPr>
          <w:rFonts w:ascii="Times New Roman" w:hAnsi="Times New Roman" w:cs="Times New Roman"/>
          <w:sz w:val="24"/>
          <w:szCs w:val="24"/>
        </w:rPr>
        <w:t>, and our results</w:t>
      </w:r>
      <w:r>
        <w:rPr>
          <w:rFonts w:ascii="Times New Roman" w:hAnsi="Times New Roman" w:cs="Times New Roman"/>
          <w:sz w:val="24"/>
          <w:szCs w:val="24"/>
        </w:rPr>
        <w:t>.</w:t>
      </w:r>
    </w:p>
    <w:p w:rsidR="008A133F" w:rsidRDefault="008A133F" w:rsidP="007C19BF">
      <w:pPr>
        <w:spacing w:after="0" w:line="480" w:lineRule="auto"/>
        <w:rPr>
          <w:rFonts w:ascii="Times New Roman" w:hAnsi="Times New Roman" w:cs="Times New Roman"/>
          <w:sz w:val="24"/>
          <w:szCs w:val="24"/>
        </w:rPr>
      </w:pPr>
    </w:p>
    <w:p w:rsidR="008C3F65" w:rsidRDefault="008C3F65" w:rsidP="007C19BF">
      <w:pPr>
        <w:spacing w:after="0" w:line="480" w:lineRule="auto"/>
        <w:rPr>
          <w:rFonts w:ascii="Times New Roman Bold" w:hAnsi="Times New Roman Bold" w:cs="Times New Roman"/>
          <w:b/>
          <w:smallCaps/>
          <w:sz w:val="24"/>
          <w:szCs w:val="24"/>
          <w:u w:val="single"/>
        </w:rPr>
      </w:pPr>
      <w:r w:rsidRPr="007C19BF">
        <w:rPr>
          <w:rFonts w:ascii="Times New Roman Bold" w:hAnsi="Times New Roman Bold" w:cs="Times New Roman"/>
          <w:b/>
          <w:smallCaps/>
          <w:sz w:val="24"/>
          <w:szCs w:val="24"/>
          <w:u w:val="single"/>
        </w:rPr>
        <w:t>III. Foreclosure Process in Georgia</w:t>
      </w:r>
    </w:p>
    <w:p w:rsidR="007C19BF" w:rsidRDefault="007C19BF" w:rsidP="007C19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understand how </w:t>
      </w:r>
      <w:r w:rsidRPr="0070486A">
        <w:rPr>
          <w:rFonts w:ascii="Times New Roman" w:hAnsi="Times New Roman" w:cs="Times New Roman"/>
          <w:sz w:val="24"/>
          <w:szCs w:val="24"/>
        </w:rPr>
        <w:t xml:space="preserve">foreclosures </w:t>
      </w:r>
      <w:r>
        <w:rPr>
          <w:rFonts w:ascii="Times New Roman" w:hAnsi="Times New Roman" w:cs="Times New Roman"/>
          <w:sz w:val="24"/>
          <w:szCs w:val="24"/>
        </w:rPr>
        <w:t xml:space="preserve">have </w:t>
      </w:r>
      <w:r w:rsidRPr="0070486A">
        <w:rPr>
          <w:rFonts w:ascii="Times New Roman" w:hAnsi="Times New Roman" w:cs="Times New Roman"/>
          <w:sz w:val="24"/>
          <w:szCs w:val="24"/>
        </w:rPr>
        <w:t xml:space="preserve">affected the property tax </w:t>
      </w:r>
      <w:r>
        <w:rPr>
          <w:rFonts w:ascii="Times New Roman" w:hAnsi="Times New Roman" w:cs="Times New Roman"/>
          <w:sz w:val="24"/>
          <w:szCs w:val="24"/>
        </w:rPr>
        <w:t>system</w:t>
      </w:r>
      <w:r w:rsidRPr="0070486A">
        <w:rPr>
          <w:rFonts w:ascii="Times New Roman" w:hAnsi="Times New Roman" w:cs="Times New Roman"/>
          <w:sz w:val="24"/>
          <w:szCs w:val="24"/>
        </w:rPr>
        <w:t xml:space="preserve"> of </w:t>
      </w:r>
      <w:r>
        <w:rPr>
          <w:rFonts w:ascii="Times New Roman" w:hAnsi="Times New Roman" w:cs="Times New Roman"/>
          <w:sz w:val="24"/>
          <w:szCs w:val="24"/>
        </w:rPr>
        <w:t xml:space="preserve">Georgia local governments, it is important to understand first how the foreclosure process works in the state. </w:t>
      </w:r>
      <w:r w:rsidR="008C3F65" w:rsidRPr="006775C9">
        <w:rPr>
          <w:rFonts w:ascii="Times New Roman" w:hAnsi="Times New Roman" w:cs="Times New Roman"/>
          <w:sz w:val="24"/>
          <w:szCs w:val="24"/>
        </w:rPr>
        <w:t>Alexande</w:t>
      </w:r>
      <w:r>
        <w:rPr>
          <w:rFonts w:ascii="Times New Roman" w:hAnsi="Times New Roman" w:cs="Times New Roman"/>
          <w:sz w:val="24"/>
          <w:szCs w:val="24"/>
        </w:rPr>
        <w:t>r (2011) provides details of this</w:t>
      </w:r>
      <w:r w:rsidR="008C3F65" w:rsidRPr="006775C9">
        <w:rPr>
          <w:rFonts w:ascii="Times New Roman" w:hAnsi="Times New Roman" w:cs="Times New Roman"/>
          <w:sz w:val="24"/>
          <w:szCs w:val="24"/>
        </w:rPr>
        <w:t xml:space="preserve"> process in Georgia, </w:t>
      </w:r>
      <w:r>
        <w:rPr>
          <w:rFonts w:ascii="Times New Roman" w:hAnsi="Times New Roman" w:cs="Times New Roman"/>
          <w:sz w:val="24"/>
          <w:szCs w:val="24"/>
        </w:rPr>
        <w:t xml:space="preserve">and his discussion provides </w:t>
      </w:r>
      <w:r w:rsidR="008C3F65" w:rsidRPr="006775C9">
        <w:rPr>
          <w:rFonts w:ascii="Times New Roman" w:hAnsi="Times New Roman" w:cs="Times New Roman"/>
          <w:sz w:val="24"/>
          <w:szCs w:val="24"/>
        </w:rPr>
        <w:t>the b</w:t>
      </w:r>
      <w:r>
        <w:rPr>
          <w:rFonts w:ascii="Times New Roman" w:hAnsi="Times New Roman" w:cs="Times New Roman"/>
          <w:sz w:val="24"/>
          <w:szCs w:val="24"/>
        </w:rPr>
        <w:t>asis for the following summary.</w:t>
      </w:r>
    </w:p>
    <w:p w:rsidR="008C3F65" w:rsidRPr="006775C9" w:rsidRDefault="008C3F65" w:rsidP="007C19BF">
      <w:pPr>
        <w:spacing w:after="0" w:line="480" w:lineRule="auto"/>
        <w:ind w:firstLine="720"/>
        <w:rPr>
          <w:rFonts w:ascii="Times New Roman" w:hAnsi="Times New Roman" w:cs="Times New Roman"/>
          <w:sz w:val="24"/>
          <w:szCs w:val="24"/>
        </w:rPr>
      </w:pPr>
      <w:r w:rsidRPr="006775C9">
        <w:rPr>
          <w:rFonts w:ascii="Times New Roman" w:hAnsi="Times New Roman" w:cs="Times New Roman"/>
          <w:sz w:val="24"/>
          <w:szCs w:val="24"/>
        </w:rPr>
        <w:t>Georgia is a non-judicial (po</w:t>
      </w:r>
      <w:r>
        <w:rPr>
          <w:rFonts w:ascii="Times New Roman" w:hAnsi="Times New Roman" w:cs="Times New Roman"/>
          <w:sz w:val="24"/>
          <w:szCs w:val="24"/>
        </w:rPr>
        <w:t xml:space="preserve">wer-of-sale) foreclosure state, and </w:t>
      </w:r>
      <w:r w:rsidRPr="006775C9">
        <w:rPr>
          <w:rFonts w:ascii="Times New Roman" w:hAnsi="Times New Roman" w:cs="Times New Roman"/>
          <w:sz w:val="24"/>
          <w:szCs w:val="24"/>
        </w:rPr>
        <w:t xml:space="preserve">only in rare cases involving special situations are judicial foreclosures conducted in Georgia.  The ability to conduct a power-of-sale foreclosure is determined by the expressed terms of the debt instrument, and thus language allowing this foreclosure process is included in the mortgage instruments.  If the property is a residence, </w:t>
      </w:r>
      <w:r w:rsidR="00A066C3">
        <w:rPr>
          <w:rFonts w:ascii="Times New Roman" w:hAnsi="Times New Roman" w:cs="Times New Roman"/>
          <w:sz w:val="24"/>
          <w:szCs w:val="24"/>
        </w:rPr>
        <w:t xml:space="preserve">then </w:t>
      </w:r>
      <w:r w:rsidRPr="006775C9">
        <w:rPr>
          <w:rFonts w:ascii="Times New Roman" w:hAnsi="Times New Roman" w:cs="Times New Roman"/>
          <w:sz w:val="24"/>
          <w:szCs w:val="24"/>
        </w:rPr>
        <w:t xml:space="preserve">Georgia law requires that the creditor give notice to the current owner, by certified mail, of the intent to foreclose, and to do so at least 30 days prior to the published date of the foreclosure sale.  The creditor must advertise the proposed foreclosure sale weekly for four weeks in the appropriate legal organ. </w:t>
      </w:r>
      <w:r>
        <w:rPr>
          <w:rFonts w:ascii="Times New Roman" w:hAnsi="Times New Roman" w:cs="Times New Roman"/>
          <w:sz w:val="24"/>
          <w:szCs w:val="24"/>
        </w:rPr>
        <w:t xml:space="preserve"> </w:t>
      </w:r>
      <w:r w:rsidRPr="006775C9">
        <w:rPr>
          <w:rFonts w:ascii="Times New Roman" w:hAnsi="Times New Roman" w:cs="Times New Roman"/>
          <w:sz w:val="24"/>
          <w:szCs w:val="24"/>
        </w:rPr>
        <w:t xml:space="preserve">The sale is </w:t>
      </w:r>
      <w:r>
        <w:rPr>
          <w:rFonts w:ascii="Times New Roman" w:hAnsi="Times New Roman" w:cs="Times New Roman"/>
          <w:sz w:val="24"/>
          <w:szCs w:val="24"/>
        </w:rPr>
        <w:t xml:space="preserve">then </w:t>
      </w:r>
      <w:r w:rsidRPr="006775C9">
        <w:rPr>
          <w:rFonts w:ascii="Times New Roman" w:hAnsi="Times New Roman" w:cs="Times New Roman"/>
          <w:sz w:val="24"/>
          <w:szCs w:val="24"/>
        </w:rPr>
        <w:t xml:space="preserve">held on the first Tuesday of the month on the court house steps.  Unlike some states, there is no requirement of a judicial confirmation of a foreclosure sale, </w:t>
      </w:r>
      <w:r>
        <w:rPr>
          <w:rFonts w:ascii="Times New Roman" w:hAnsi="Times New Roman" w:cs="Times New Roman"/>
          <w:sz w:val="24"/>
          <w:szCs w:val="24"/>
        </w:rPr>
        <w:t xml:space="preserve">and there is also no </w:t>
      </w:r>
      <w:r w:rsidRPr="006775C9">
        <w:rPr>
          <w:rFonts w:ascii="Times New Roman" w:hAnsi="Times New Roman" w:cs="Times New Roman"/>
          <w:sz w:val="24"/>
          <w:szCs w:val="24"/>
        </w:rPr>
        <w:t xml:space="preserve">statutory right to redemption on the part of the debtor.  Thus, foreclosures can be completed in about 6 weeks.  </w:t>
      </w:r>
      <w:r w:rsidRPr="006775C9" w:rsidDel="00C917ED">
        <w:rPr>
          <w:rFonts w:ascii="Times New Roman" w:hAnsi="Times New Roman" w:cs="Times New Roman"/>
          <w:sz w:val="24"/>
          <w:szCs w:val="24"/>
        </w:rPr>
        <w:t xml:space="preserve">A recent 2009 </w:t>
      </w:r>
      <w:r w:rsidR="007C19BF">
        <w:rPr>
          <w:rFonts w:ascii="Times New Roman" w:hAnsi="Times New Roman" w:cs="Times New Roman"/>
          <w:sz w:val="24"/>
          <w:szCs w:val="24"/>
        </w:rPr>
        <w:t>f</w:t>
      </w:r>
      <w:r w:rsidRPr="006775C9" w:rsidDel="00C917ED">
        <w:rPr>
          <w:rFonts w:ascii="Times New Roman" w:hAnsi="Times New Roman" w:cs="Times New Roman"/>
          <w:sz w:val="24"/>
          <w:szCs w:val="24"/>
        </w:rPr>
        <w:t xml:space="preserve">ederal law provides that the tenant </w:t>
      </w:r>
      <w:r>
        <w:rPr>
          <w:rFonts w:ascii="Times New Roman" w:hAnsi="Times New Roman" w:cs="Times New Roman"/>
          <w:sz w:val="24"/>
          <w:szCs w:val="24"/>
        </w:rPr>
        <w:t xml:space="preserve">(i.e., the owner who has been foreclosed) </w:t>
      </w:r>
      <w:r w:rsidRPr="006775C9" w:rsidDel="00C917ED">
        <w:rPr>
          <w:rFonts w:ascii="Times New Roman" w:hAnsi="Times New Roman" w:cs="Times New Roman"/>
          <w:sz w:val="24"/>
          <w:szCs w:val="24"/>
        </w:rPr>
        <w:t>can retain possession of the property</w:t>
      </w:r>
      <w:r w:rsidR="007C19BF">
        <w:rPr>
          <w:rFonts w:ascii="Times New Roman" w:hAnsi="Times New Roman" w:cs="Times New Roman"/>
          <w:sz w:val="24"/>
          <w:szCs w:val="24"/>
        </w:rPr>
        <w:t>,</w:t>
      </w:r>
      <w:r w:rsidRPr="006775C9" w:rsidDel="00C917ED">
        <w:rPr>
          <w:rFonts w:ascii="Times New Roman" w:hAnsi="Times New Roman" w:cs="Times New Roman"/>
          <w:sz w:val="24"/>
          <w:szCs w:val="24"/>
        </w:rPr>
        <w:t xml:space="preserve"> but the possession can be terminated by giving a 90-day notice to vacate the premises. </w:t>
      </w:r>
    </w:p>
    <w:p w:rsidR="008C3F65" w:rsidRPr="00621101" w:rsidRDefault="008C3F65" w:rsidP="008C3F65">
      <w:pPr>
        <w:spacing w:after="0" w:line="480" w:lineRule="auto"/>
        <w:rPr>
          <w:rFonts w:ascii="Times New Roman" w:hAnsi="Times New Roman" w:cs="Times New Roman"/>
          <w:sz w:val="24"/>
          <w:szCs w:val="24"/>
        </w:rPr>
      </w:pPr>
      <w:r w:rsidRPr="006775C9">
        <w:rPr>
          <w:rFonts w:ascii="Times New Roman" w:hAnsi="Times New Roman" w:cs="Times New Roman"/>
          <w:sz w:val="24"/>
          <w:szCs w:val="24"/>
        </w:rPr>
        <w:lastRenderedPageBreak/>
        <w:tab/>
        <w:t>The overwhelming majority of foreclosure sales are made to the creditor, who is required to act in “good faith”.  The sales price does not have to be the fair market value, but the Georgia Supreme C</w:t>
      </w:r>
      <w:r w:rsidRPr="006775C9" w:rsidDel="00C917ED">
        <w:rPr>
          <w:rFonts w:ascii="Times New Roman" w:hAnsi="Times New Roman" w:cs="Times New Roman"/>
          <w:sz w:val="24"/>
          <w:szCs w:val="24"/>
        </w:rPr>
        <w:t>c</w:t>
      </w:r>
      <w:r w:rsidRPr="006775C9">
        <w:rPr>
          <w:rFonts w:ascii="Times New Roman" w:hAnsi="Times New Roman" w:cs="Times New Roman"/>
          <w:sz w:val="24"/>
          <w:szCs w:val="24"/>
        </w:rPr>
        <w:t xml:space="preserve">ourt has ruled that it cannot be </w:t>
      </w:r>
      <w:r>
        <w:rPr>
          <w:rFonts w:ascii="Times New Roman" w:hAnsi="Times New Roman" w:cs="Times New Roman"/>
          <w:sz w:val="24"/>
          <w:szCs w:val="24"/>
        </w:rPr>
        <w:t>“</w:t>
      </w:r>
      <w:r w:rsidRPr="006775C9">
        <w:rPr>
          <w:rFonts w:ascii="Times New Roman" w:hAnsi="Times New Roman" w:cs="Times New Roman"/>
          <w:sz w:val="24"/>
          <w:szCs w:val="24"/>
        </w:rPr>
        <w:t>grossly inadequate</w:t>
      </w:r>
      <w:r>
        <w:rPr>
          <w:rFonts w:ascii="Times New Roman" w:hAnsi="Times New Roman" w:cs="Times New Roman"/>
          <w:sz w:val="24"/>
          <w:szCs w:val="24"/>
        </w:rPr>
        <w:t>”</w:t>
      </w:r>
      <w:r w:rsidRPr="006775C9">
        <w:rPr>
          <w:rFonts w:ascii="Times New Roman" w:hAnsi="Times New Roman" w:cs="Times New Roman"/>
          <w:sz w:val="24"/>
          <w:szCs w:val="24"/>
        </w:rPr>
        <w:t>.  If the sales price is less than the indebtedness, the creditor can seek judicial confirmation of the foreclosure sale in order to get a money judgment against the property owner</w:t>
      </w:r>
      <w:r w:rsidRPr="006775C9" w:rsidDel="00C917ED">
        <w:rPr>
          <w:rFonts w:ascii="Times New Roman" w:hAnsi="Times New Roman" w:cs="Times New Roman"/>
          <w:sz w:val="24"/>
          <w:szCs w:val="24"/>
        </w:rPr>
        <w:t>.</w:t>
      </w:r>
      <w:r>
        <w:rPr>
          <w:rFonts w:ascii="Times New Roman" w:hAnsi="Times New Roman" w:cs="Times New Roman"/>
          <w:sz w:val="24"/>
          <w:szCs w:val="24"/>
        </w:rPr>
        <w:t xml:space="preserve"> </w:t>
      </w:r>
      <w:r w:rsidRPr="006775C9">
        <w:rPr>
          <w:rFonts w:ascii="Times New Roman" w:hAnsi="Times New Roman" w:cs="Times New Roman"/>
          <w:sz w:val="24"/>
          <w:szCs w:val="24"/>
        </w:rPr>
        <w:t xml:space="preserve"> In a judicial confirmation of a foreclosure sale, the creditor is required to establish the fair market value of the property in order to get a judgment for the balance due the creditor.</w:t>
      </w:r>
      <w:r>
        <w:rPr>
          <w:rFonts w:ascii="Times New Roman" w:hAnsi="Times New Roman" w:cs="Times New Roman"/>
          <w:sz w:val="24"/>
          <w:szCs w:val="24"/>
        </w:rPr>
        <w:t xml:space="preserve"> </w:t>
      </w:r>
      <w:r w:rsidRPr="00621101">
        <w:rPr>
          <w:rFonts w:ascii="Times New Roman" w:hAnsi="Times New Roman" w:cs="Times New Roman"/>
          <w:sz w:val="24"/>
          <w:szCs w:val="24"/>
        </w:rPr>
        <w:t xml:space="preserve"> The proceeds of the foreclosure sale</w:t>
      </w:r>
      <w:r w:rsidRPr="00621101" w:rsidDel="00C917ED">
        <w:rPr>
          <w:rFonts w:ascii="Times New Roman" w:hAnsi="Times New Roman" w:cs="Times New Roman"/>
          <w:sz w:val="24"/>
          <w:szCs w:val="24"/>
        </w:rPr>
        <w:t xml:space="preserve"> </w:t>
      </w:r>
      <w:r w:rsidRPr="00621101">
        <w:rPr>
          <w:rFonts w:ascii="Times New Roman" w:hAnsi="Times New Roman" w:cs="Times New Roman"/>
          <w:sz w:val="24"/>
          <w:szCs w:val="24"/>
        </w:rPr>
        <w:t xml:space="preserve">are first distributed to cover the costs and fees of the foreclosure and to satisfy the mortgage debt. Any remaining surplus is distributed to the debtor. </w:t>
      </w:r>
    </w:p>
    <w:p w:rsidR="008C3F65" w:rsidRPr="00A066C3" w:rsidRDefault="008C3F65" w:rsidP="00A066C3">
      <w:pPr>
        <w:spacing w:after="0" w:line="480" w:lineRule="auto"/>
        <w:rPr>
          <w:rFonts w:ascii="Times New Roman Bold" w:hAnsi="Times New Roman Bold" w:cs="Times New Roman"/>
          <w:sz w:val="24"/>
          <w:szCs w:val="24"/>
        </w:rPr>
      </w:pPr>
    </w:p>
    <w:p w:rsidR="00197294" w:rsidRPr="00197294" w:rsidRDefault="00A066C3" w:rsidP="00197294">
      <w:pPr>
        <w:spacing w:after="0" w:line="480" w:lineRule="auto"/>
        <w:rPr>
          <w:rFonts w:ascii="Times New Roman Bold" w:hAnsi="Times New Roman Bold" w:cs="Times New Roman"/>
          <w:b/>
          <w:smallCaps/>
          <w:sz w:val="24"/>
          <w:szCs w:val="24"/>
          <w:u w:val="single"/>
        </w:rPr>
      </w:pPr>
      <w:r>
        <w:rPr>
          <w:rFonts w:ascii="Times New Roman Bold" w:hAnsi="Times New Roman Bold" w:cs="Times New Roman"/>
          <w:b/>
          <w:smallCaps/>
          <w:sz w:val="24"/>
          <w:szCs w:val="24"/>
          <w:u w:val="single"/>
        </w:rPr>
        <w:t>IV</w:t>
      </w:r>
      <w:r w:rsidR="00197294" w:rsidRPr="00197294">
        <w:rPr>
          <w:rFonts w:ascii="Times New Roman Bold" w:hAnsi="Times New Roman Bold" w:cs="Times New Roman"/>
          <w:b/>
          <w:smallCaps/>
          <w:sz w:val="24"/>
          <w:szCs w:val="24"/>
          <w:u w:val="single"/>
        </w:rPr>
        <w:t>. Data</w:t>
      </w:r>
    </w:p>
    <w:p w:rsidR="00335314" w:rsidRDefault="00E55B68" w:rsidP="003353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Data used in this paper are taken from several sources</w:t>
      </w:r>
      <w:r w:rsidR="00197294" w:rsidRPr="00746B15">
        <w:rPr>
          <w:rFonts w:ascii="Times New Roman" w:hAnsi="Times New Roman" w:cs="Times New Roman"/>
          <w:sz w:val="24"/>
          <w:szCs w:val="24"/>
        </w:rPr>
        <w:t xml:space="preserve">.  </w:t>
      </w:r>
      <w:r w:rsidR="00335314">
        <w:rPr>
          <w:rFonts w:ascii="Times New Roman" w:hAnsi="Times New Roman" w:cs="Times New Roman"/>
          <w:sz w:val="24"/>
          <w:szCs w:val="24"/>
        </w:rPr>
        <w:t xml:space="preserve">To measure foreclosure activity, we use proprietary data from </w:t>
      </w:r>
      <w:r w:rsidR="00335314" w:rsidRPr="006D3591">
        <w:rPr>
          <w:rFonts w:ascii="Times New Roman" w:hAnsi="Times New Roman" w:cs="Times New Roman"/>
          <w:sz w:val="24"/>
          <w:szCs w:val="24"/>
        </w:rPr>
        <w:t>RealtyTrac</w:t>
      </w:r>
      <w:r w:rsidR="00335314">
        <w:rPr>
          <w:rFonts w:ascii="Times New Roman" w:hAnsi="Times New Roman" w:cs="Times New Roman"/>
          <w:sz w:val="24"/>
          <w:szCs w:val="24"/>
        </w:rPr>
        <w:t xml:space="preserve"> covering the period 2006 through 2011.  Real</w:t>
      </w:r>
      <w:r w:rsidR="00A066C3">
        <w:rPr>
          <w:rFonts w:ascii="Times New Roman" w:hAnsi="Times New Roman" w:cs="Times New Roman"/>
          <w:sz w:val="24"/>
          <w:szCs w:val="24"/>
        </w:rPr>
        <w:t>t</w:t>
      </w:r>
      <w:r w:rsidR="00335314">
        <w:rPr>
          <w:rFonts w:ascii="Times New Roman" w:hAnsi="Times New Roman" w:cs="Times New Roman"/>
          <w:sz w:val="24"/>
          <w:szCs w:val="24"/>
        </w:rPr>
        <w:t>yTrac reports</w:t>
      </w:r>
      <w:r w:rsidR="00335314" w:rsidRPr="006D3591">
        <w:rPr>
          <w:rFonts w:ascii="Times New Roman" w:hAnsi="Times New Roman" w:cs="Times New Roman"/>
          <w:sz w:val="24"/>
          <w:szCs w:val="24"/>
        </w:rPr>
        <w:t xml:space="preserve"> </w:t>
      </w:r>
      <w:r w:rsidR="00335314">
        <w:rPr>
          <w:rFonts w:ascii="Times New Roman" w:hAnsi="Times New Roman" w:cs="Times New Roman"/>
          <w:sz w:val="24"/>
          <w:szCs w:val="24"/>
        </w:rPr>
        <w:t>foreclosure “activity” in terms of foreclosure legal filings and notices on a zip code basis</w:t>
      </w:r>
      <w:r w:rsidR="00335314" w:rsidRPr="008A133F">
        <w:rPr>
          <w:rFonts w:ascii="Times New Roman" w:hAnsi="Times New Roman" w:cs="Times New Roman"/>
          <w:sz w:val="24"/>
          <w:szCs w:val="24"/>
        </w:rPr>
        <w:t xml:space="preserve">.  </w:t>
      </w:r>
      <w:r w:rsidR="00335314">
        <w:rPr>
          <w:rFonts w:ascii="Times New Roman" w:hAnsi="Times New Roman" w:cs="Times New Roman"/>
          <w:sz w:val="24"/>
          <w:szCs w:val="24"/>
        </w:rPr>
        <w:t>We measure foreclosure activity using Real</w:t>
      </w:r>
      <w:r w:rsidR="00A066C3">
        <w:rPr>
          <w:rFonts w:ascii="Times New Roman" w:hAnsi="Times New Roman" w:cs="Times New Roman"/>
          <w:sz w:val="24"/>
          <w:szCs w:val="24"/>
        </w:rPr>
        <w:t>t</w:t>
      </w:r>
      <w:r w:rsidR="00335314">
        <w:rPr>
          <w:rFonts w:ascii="Times New Roman" w:hAnsi="Times New Roman" w:cs="Times New Roman"/>
          <w:sz w:val="24"/>
          <w:szCs w:val="24"/>
        </w:rPr>
        <w:t>yTrac’s “notice of trustee sale” counts for each year, aggregating zip code observations into the corresponding counties.</w:t>
      </w:r>
      <w:r w:rsidR="00335314">
        <w:rPr>
          <w:rStyle w:val="FootnoteReference"/>
          <w:rFonts w:ascii="Times New Roman" w:hAnsi="Times New Roman" w:cs="Times New Roman"/>
          <w:sz w:val="24"/>
          <w:szCs w:val="24"/>
        </w:rPr>
        <w:footnoteReference w:id="6"/>
      </w:r>
      <w:r w:rsidR="00335314">
        <w:rPr>
          <w:rFonts w:ascii="Times New Roman" w:hAnsi="Times New Roman" w:cs="Times New Roman"/>
          <w:sz w:val="24"/>
          <w:szCs w:val="24"/>
        </w:rPr>
        <w:t xml:space="preserve">  </w:t>
      </w:r>
    </w:p>
    <w:p w:rsidR="00621101" w:rsidRDefault="00197294" w:rsidP="007C07B4">
      <w:pPr>
        <w:spacing w:after="0" w:line="480" w:lineRule="auto"/>
        <w:ind w:firstLine="720"/>
        <w:rPr>
          <w:rFonts w:ascii="Times New Roman" w:hAnsi="Times New Roman" w:cs="Times New Roman"/>
          <w:sz w:val="24"/>
          <w:szCs w:val="24"/>
        </w:rPr>
      </w:pPr>
      <w:r w:rsidRPr="00746B15">
        <w:rPr>
          <w:rFonts w:ascii="Times New Roman" w:hAnsi="Times New Roman" w:cs="Times New Roman"/>
          <w:sz w:val="24"/>
          <w:szCs w:val="24"/>
        </w:rPr>
        <w:t xml:space="preserve">We obtained from the Georgia Department of Revenue the annual property tax base (referred to as “Net Digest” in Georgia) for each of the 180 school districts in Georgia for </w:t>
      </w:r>
      <w:r w:rsidR="00E55B68">
        <w:rPr>
          <w:rFonts w:ascii="Times New Roman" w:hAnsi="Times New Roman" w:cs="Times New Roman"/>
          <w:sz w:val="24"/>
          <w:szCs w:val="24"/>
        </w:rPr>
        <w:t>1997</w:t>
      </w:r>
      <w:r w:rsidR="00E55B68" w:rsidRPr="00746B15">
        <w:rPr>
          <w:rFonts w:ascii="Times New Roman" w:hAnsi="Times New Roman" w:cs="Times New Roman"/>
          <w:sz w:val="24"/>
          <w:szCs w:val="24"/>
        </w:rPr>
        <w:t xml:space="preserve"> </w:t>
      </w:r>
      <w:r w:rsidRPr="00746B15">
        <w:rPr>
          <w:rFonts w:ascii="Times New Roman" w:hAnsi="Times New Roman" w:cs="Times New Roman"/>
          <w:sz w:val="24"/>
          <w:szCs w:val="24"/>
        </w:rPr>
        <w:t>through 2011</w:t>
      </w:r>
      <w:r w:rsidR="00564E5D">
        <w:rPr>
          <w:rFonts w:ascii="Times New Roman" w:hAnsi="Times New Roman" w:cs="Times New Roman"/>
          <w:sz w:val="24"/>
          <w:szCs w:val="24"/>
        </w:rPr>
        <w:t>, extending two years beyond the official end of</w:t>
      </w:r>
      <w:r w:rsidR="008A133F">
        <w:rPr>
          <w:rFonts w:ascii="Times New Roman" w:hAnsi="Times New Roman" w:cs="Times New Roman"/>
          <w:sz w:val="24"/>
          <w:szCs w:val="24"/>
        </w:rPr>
        <w:t xml:space="preserve"> </w:t>
      </w:r>
      <w:r w:rsidR="00564E5D">
        <w:rPr>
          <w:rFonts w:ascii="Times New Roman" w:hAnsi="Times New Roman" w:cs="Times New Roman"/>
          <w:sz w:val="24"/>
          <w:szCs w:val="24"/>
        </w:rPr>
        <w:t xml:space="preserve">the </w:t>
      </w:r>
      <w:r w:rsidR="008A133F">
        <w:rPr>
          <w:rFonts w:ascii="Times New Roman" w:hAnsi="Times New Roman" w:cs="Times New Roman"/>
          <w:sz w:val="24"/>
          <w:szCs w:val="24"/>
        </w:rPr>
        <w:t>Great Recession.</w:t>
      </w:r>
      <w:r w:rsidR="00CB0721">
        <w:rPr>
          <w:rStyle w:val="FootnoteReference"/>
          <w:rFonts w:ascii="Times New Roman" w:hAnsi="Times New Roman" w:cs="Times New Roman"/>
          <w:sz w:val="24"/>
          <w:szCs w:val="24"/>
        </w:rPr>
        <w:footnoteReference w:id="7"/>
      </w:r>
      <w:r w:rsidR="00A03926">
        <w:rPr>
          <w:rFonts w:ascii="Times New Roman" w:hAnsi="Times New Roman" w:cs="Times New Roman"/>
          <w:sz w:val="24"/>
          <w:szCs w:val="24"/>
        </w:rPr>
        <w:t xml:space="preserve">  </w:t>
      </w:r>
      <w:r w:rsidRPr="00746B15">
        <w:rPr>
          <w:rFonts w:ascii="Times New Roman" w:hAnsi="Times New Roman" w:cs="Times New Roman"/>
          <w:sz w:val="24"/>
          <w:szCs w:val="24"/>
        </w:rPr>
        <w:t xml:space="preserve">We also </w:t>
      </w:r>
      <w:r w:rsidR="009E2C66">
        <w:rPr>
          <w:rFonts w:ascii="Times New Roman" w:hAnsi="Times New Roman" w:cs="Times New Roman"/>
          <w:sz w:val="24"/>
          <w:szCs w:val="24"/>
        </w:rPr>
        <w:t>calculated</w:t>
      </w:r>
      <w:r w:rsidRPr="00746B15">
        <w:rPr>
          <w:rFonts w:ascii="Times New Roman" w:hAnsi="Times New Roman" w:cs="Times New Roman"/>
          <w:sz w:val="24"/>
          <w:szCs w:val="24"/>
        </w:rPr>
        <w:t xml:space="preserve"> property tax </w:t>
      </w:r>
      <w:r w:rsidR="00564E5D">
        <w:rPr>
          <w:rFonts w:ascii="Times New Roman" w:hAnsi="Times New Roman" w:cs="Times New Roman"/>
          <w:sz w:val="24"/>
          <w:szCs w:val="24"/>
        </w:rPr>
        <w:t>levies</w:t>
      </w:r>
      <w:r w:rsidRPr="00746B15">
        <w:rPr>
          <w:rFonts w:ascii="Times New Roman" w:hAnsi="Times New Roman" w:cs="Times New Roman"/>
          <w:sz w:val="24"/>
          <w:szCs w:val="24"/>
        </w:rPr>
        <w:t xml:space="preserve"> for all school districts for </w:t>
      </w:r>
      <w:r w:rsidR="00564E5D">
        <w:rPr>
          <w:rFonts w:ascii="Times New Roman" w:hAnsi="Times New Roman" w:cs="Times New Roman"/>
          <w:sz w:val="24"/>
          <w:szCs w:val="24"/>
        </w:rPr>
        <w:t>the same periods</w:t>
      </w:r>
      <w:r w:rsidR="009E2C66">
        <w:rPr>
          <w:rFonts w:ascii="Times New Roman" w:hAnsi="Times New Roman" w:cs="Times New Roman"/>
          <w:sz w:val="24"/>
          <w:szCs w:val="24"/>
        </w:rPr>
        <w:t xml:space="preserve"> using the net digest and reported millage rates obtained from the Georgia Department of Revenue</w:t>
      </w:r>
      <w:r w:rsidRPr="00746B15">
        <w:rPr>
          <w:rFonts w:ascii="Times New Roman" w:hAnsi="Times New Roman" w:cs="Times New Roman"/>
          <w:sz w:val="24"/>
          <w:szCs w:val="24"/>
        </w:rPr>
        <w:t xml:space="preserve">.  The </w:t>
      </w:r>
      <w:r w:rsidR="006C35C9">
        <w:rPr>
          <w:rFonts w:ascii="Times New Roman" w:hAnsi="Times New Roman" w:cs="Times New Roman"/>
          <w:sz w:val="24"/>
          <w:szCs w:val="24"/>
        </w:rPr>
        <w:t xml:space="preserve">tax </w:t>
      </w:r>
      <w:r w:rsidRPr="00746B15">
        <w:rPr>
          <w:rFonts w:ascii="Times New Roman" w:hAnsi="Times New Roman" w:cs="Times New Roman"/>
          <w:sz w:val="24"/>
          <w:szCs w:val="24"/>
        </w:rPr>
        <w:t>base is as of January 1</w:t>
      </w:r>
      <w:r w:rsidRPr="00746B15">
        <w:rPr>
          <w:rFonts w:ascii="Times New Roman" w:hAnsi="Times New Roman" w:cs="Times New Roman"/>
          <w:sz w:val="24"/>
          <w:szCs w:val="24"/>
          <w:vertAlign w:val="superscript"/>
        </w:rPr>
        <w:t>st</w:t>
      </w:r>
      <w:r w:rsidRPr="00746B15">
        <w:rPr>
          <w:rFonts w:ascii="Times New Roman" w:hAnsi="Times New Roman" w:cs="Times New Roman"/>
          <w:sz w:val="24"/>
          <w:szCs w:val="24"/>
        </w:rPr>
        <w:t xml:space="preserve"> of the respective year.  The millage rate </w:t>
      </w:r>
      <w:r w:rsidR="006A052E">
        <w:rPr>
          <w:rFonts w:ascii="Times New Roman" w:hAnsi="Times New Roman" w:cs="Times New Roman"/>
          <w:sz w:val="24"/>
          <w:szCs w:val="24"/>
        </w:rPr>
        <w:t>and resulting levy are</w:t>
      </w:r>
      <w:r w:rsidR="006A052E" w:rsidRPr="00746B15">
        <w:rPr>
          <w:rFonts w:ascii="Times New Roman" w:hAnsi="Times New Roman" w:cs="Times New Roman"/>
          <w:sz w:val="24"/>
          <w:szCs w:val="24"/>
        </w:rPr>
        <w:t xml:space="preserve"> </w:t>
      </w:r>
      <w:r w:rsidRPr="00746B15">
        <w:rPr>
          <w:rFonts w:ascii="Times New Roman" w:hAnsi="Times New Roman" w:cs="Times New Roman"/>
          <w:sz w:val="24"/>
          <w:szCs w:val="24"/>
        </w:rPr>
        <w:t xml:space="preserve">set in the spring with tax bills being paid in the fall, the </w:t>
      </w:r>
      <w:r w:rsidRPr="00746B15">
        <w:rPr>
          <w:rFonts w:ascii="Times New Roman" w:hAnsi="Times New Roman" w:cs="Times New Roman"/>
          <w:sz w:val="24"/>
          <w:szCs w:val="24"/>
        </w:rPr>
        <w:lastRenderedPageBreak/>
        <w:t>revenue from which would be reported in the following fiscal year.  School districts are on a July 1</w:t>
      </w:r>
      <w:r w:rsidRPr="00746B15">
        <w:rPr>
          <w:rFonts w:ascii="Times New Roman" w:hAnsi="Times New Roman" w:cs="Times New Roman"/>
          <w:sz w:val="24"/>
          <w:szCs w:val="24"/>
          <w:vertAlign w:val="superscript"/>
        </w:rPr>
        <w:t>st</w:t>
      </w:r>
      <w:r w:rsidRPr="00746B15">
        <w:rPr>
          <w:rFonts w:ascii="Times New Roman" w:hAnsi="Times New Roman" w:cs="Times New Roman"/>
          <w:sz w:val="24"/>
          <w:szCs w:val="24"/>
        </w:rPr>
        <w:t xml:space="preserve"> to June 30</w:t>
      </w:r>
      <w:r w:rsidRPr="00746B15">
        <w:rPr>
          <w:rFonts w:ascii="Times New Roman" w:hAnsi="Times New Roman" w:cs="Times New Roman"/>
          <w:sz w:val="24"/>
          <w:szCs w:val="24"/>
          <w:vertAlign w:val="superscript"/>
        </w:rPr>
        <w:t>th</w:t>
      </w:r>
      <w:r w:rsidRPr="00746B15">
        <w:rPr>
          <w:rFonts w:ascii="Times New Roman" w:hAnsi="Times New Roman" w:cs="Times New Roman"/>
          <w:sz w:val="24"/>
          <w:szCs w:val="24"/>
        </w:rPr>
        <w:t xml:space="preserve"> fiscal year</w:t>
      </w:r>
      <w:r w:rsidR="00564E5D">
        <w:rPr>
          <w:rFonts w:ascii="Times New Roman" w:hAnsi="Times New Roman" w:cs="Times New Roman"/>
          <w:sz w:val="24"/>
          <w:szCs w:val="24"/>
        </w:rPr>
        <w:t>,</w:t>
      </w:r>
      <w:r w:rsidRPr="00746B15">
        <w:rPr>
          <w:rFonts w:ascii="Times New Roman" w:hAnsi="Times New Roman" w:cs="Times New Roman"/>
          <w:sz w:val="24"/>
          <w:szCs w:val="24"/>
        </w:rPr>
        <w:t xml:space="preserve"> </w:t>
      </w:r>
      <w:r w:rsidR="00BF0FF4">
        <w:rPr>
          <w:rFonts w:ascii="Times New Roman" w:hAnsi="Times New Roman" w:cs="Times New Roman"/>
          <w:sz w:val="24"/>
          <w:szCs w:val="24"/>
        </w:rPr>
        <w:t xml:space="preserve">and </w:t>
      </w:r>
      <w:r w:rsidR="00564E5D">
        <w:rPr>
          <w:rFonts w:ascii="Times New Roman" w:hAnsi="Times New Roman" w:cs="Times New Roman"/>
          <w:sz w:val="24"/>
          <w:szCs w:val="24"/>
        </w:rPr>
        <w:t>t</w:t>
      </w:r>
      <w:r w:rsidR="00564E5D" w:rsidRPr="00746B15">
        <w:rPr>
          <w:rFonts w:ascii="Times New Roman" w:hAnsi="Times New Roman" w:cs="Times New Roman"/>
          <w:sz w:val="24"/>
          <w:szCs w:val="24"/>
        </w:rPr>
        <w:t>hus</w:t>
      </w:r>
      <w:r w:rsidR="00BF0FF4">
        <w:rPr>
          <w:rFonts w:ascii="Times New Roman" w:hAnsi="Times New Roman" w:cs="Times New Roman"/>
          <w:sz w:val="24"/>
          <w:szCs w:val="24"/>
        </w:rPr>
        <w:t xml:space="preserve"> (say)</w:t>
      </w:r>
      <w:r w:rsidRPr="00746B15">
        <w:rPr>
          <w:rFonts w:ascii="Times New Roman" w:hAnsi="Times New Roman" w:cs="Times New Roman"/>
          <w:sz w:val="24"/>
          <w:szCs w:val="24"/>
        </w:rPr>
        <w:t xml:space="preserve"> the 2009 </w:t>
      </w:r>
      <w:r w:rsidR="00564E5D">
        <w:rPr>
          <w:rFonts w:ascii="Times New Roman" w:hAnsi="Times New Roman" w:cs="Times New Roman"/>
          <w:sz w:val="24"/>
          <w:szCs w:val="24"/>
        </w:rPr>
        <w:t xml:space="preserve">tax </w:t>
      </w:r>
      <w:r w:rsidRPr="00746B15">
        <w:rPr>
          <w:rFonts w:ascii="Times New Roman" w:hAnsi="Times New Roman" w:cs="Times New Roman"/>
          <w:sz w:val="24"/>
          <w:szCs w:val="24"/>
        </w:rPr>
        <w:t xml:space="preserve">base </w:t>
      </w:r>
      <w:r w:rsidR="00564E5D">
        <w:rPr>
          <w:rFonts w:ascii="Times New Roman" w:hAnsi="Times New Roman" w:cs="Times New Roman"/>
          <w:sz w:val="24"/>
          <w:szCs w:val="24"/>
        </w:rPr>
        <w:t xml:space="preserve">and </w:t>
      </w:r>
      <w:r w:rsidR="006A052E">
        <w:rPr>
          <w:rFonts w:ascii="Times New Roman" w:hAnsi="Times New Roman" w:cs="Times New Roman"/>
          <w:sz w:val="24"/>
          <w:szCs w:val="24"/>
        </w:rPr>
        <w:t>levies</w:t>
      </w:r>
      <w:r w:rsidR="00564E5D">
        <w:rPr>
          <w:rFonts w:ascii="Times New Roman" w:hAnsi="Times New Roman" w:cs="Times New Roman"/>
          <w:sz w:val="24"/>
          <w:szCs w:val="24"/>
        </w:rPr>
        <w:t xml:space="preserve"> </w:t>
      </w:r>
      <w:r w:rsidRPr="00746B15">
        <w:rPr>
          <w:rFonts w:ascii="Times New Roman" w:hAnsi="Times New Roman" w:cs="Times New Roman"/>
          <w:sz w:val="24"/>
          <w:szCs w:val="24"/>
        </w:rPr>
        <w:t xml:space="preserve">would </w:t>
      </w:r>
      <w:r w:rsidR="00564E5D">
        <w:rPr>
          <w:rFonts w:ascii="Times New Roman" w:hAnsi="Times New Roman" w:cs="Times New Roman"/>
          <w:sz w:val="24"/>
          <w:szCs w:val="24"/>
        </w:rPr>
        <w:t xml:space="preserve">be reflected in </w:t>
      </w:r>
      <w:r w:rsidR="00A03926">
        <w:rPr>
          <w:rFonts w:ascii="Times New Roman" w:hAnsi="Times New Roman" w:cs="Times New Roman"/>
          <w:sz w:val="24"/>
          <w:szCs w:val="24"/>
        </w:rPr>
        <w:t xml:space="preserve">revenues for </w:t>
      </w:r>
      <w:r w:rsidR="00564E5D">
        <w:rPr>
          <w:rFonts w:ascii="Times New Roman" w:hAnsi="Times New Roman" w:cs="Times New Roman"/>
          <w:sz w:val="24"/>
          <w:szCs w:val="24"/>
        </w:rPr>
        <w:t>fiscal</w:t>
      </w:r>
      <w:r w:rsidR="006C35C9">
        <w:rPr>
          <w:rFonts w:ascii="Times New Roman" w:hAnsi="Times New Roman" w:cs="Times New Roman"/>
          <w:sz w:val="24"/>
          <w:szCs w:val="24"/>
        </w:rPr>
        <w:t xml:space="preserve"> year</w:t>
      </w:r>
      <w:r w:rsidR="00564E5D">
        <w:rPr>
          <w:rFonts w:ascii="Times New Roman" w:hAnsi="Times New Roman" w:cs="Times New Roman"/>
          <w:sz w:val="24"/>
          <w:szCs w:val="24"/>
        </w:rPr>
        <w:t xml:space="preserve"> </w:t>
      </w:r>
      <w:r w:rsidR="006C35C9">
        <w:rPr>
          <w:rFonts w:ascii="Times New Roman" w:hAnsi="Times New Roman" w:cs="Times New Roman"/>
          <w:sz w:val="24"/>
          <w:szCs w:val="24"/>
        </w:rPr>
        <w:t xml:space="preserve">(or </w:t>
      </w:r>
      <w:r w:rsidR="00564E5D">
        <w:rPr>
          <w:rFonts w:ascii="Times New Roman" w:hAnsi="Times New Roman" w:cs="Times New Roman"/>
          <w:sz w:val="24"/>
          <w:szCs w:val="24"/>
        </w:rPr>
        <w:t>school year</w:t>
      </w:r>
      <w:r w:rsidR="006C35C9">
        <w:rPr>
          <w:rFonts w:ascii="Times New Roman" w:hAnsi="Times New Roman" w:cs="Times New Roman"/>
          <w:sz w:val="24"/>
          <w:szCs w:val="24"/>
        </w:rPr>
        <w:t>)</w:t>
      </w:r>
      <w:r w:rsidR="00564E5D">
        <w:rPr>
          <w:rFonts w:ascii="Times New Roman" w:hAnsi="Times New Roman" w:cs="Times New Roman"/>
          <w:sz w:val="24"/>
          <w:szCs w:val="24"/>
        </w:rPr>
        <w:t xml:space="preserve"> </w:t>
      </w:r>
      <w:r w:rsidR="00A03926">
        <w:rPr>
          <w:rFonts w:ascii="Times New Roman" w:hAnsi="Times New Roman" w:cs="Times New Roman"/>
          <w:sz w:val="24"/>
          <w:szCs w:val="24"/>
        </w:rPr>
        <w:t>2010.</w:t>
      </w:r>
      <w:r w:rsidR="00FC32F3">
        <w:rPr>
          <w:rFonts w:ascii="Times New Roman" w:hAnsi="Times New Roman" w:cs="Times New Roman"/>
          <w:sz w:val="24"/>
          <w:szCs w:val="24"/>
        </w:rPr>
        <w:t xml:space="preserve">  </w:t>
      </w:r>
      <w:r w:rsidR="006A052E">
        <w:rPr>
          <w:rFonts w:ascii="Times New Roman" w:hAnsi="Times New Roman" w:cs="Times New Roman"/>
          <w:sz w:val="24"/>
          <w:szCs w:val="24"/>
        </w:rPr>
        <w:t>W</w:t>
      </w:r>
      <w:r w:rsidR="00F21940" w:rsidRPr="00746B15">
        <w:rPr>
          <w:rFonts w:ascii="Times New Roman" w:hAnsi="Times New Roman" w:cs="Times New Roman"/>
          <w:sz w:val="24"/>
          <w:szCs w:val="24"/>
        </w:rPr>
        <w:t xml:space="preserve">e use data from the Georgia Department of Education on </w:t>
      </w:r>
      <w:r w:rsidR="00FC32F3">
        <w:rPr>
          <w:rFonts w:ascii="Times New Roman" w:hAnsi="Times New Roman" w:cs="Times New Roman"/>
          <w:sz w:val="24"/>
          <w:szCs w:val="24"/>
        </w:rPr>
        <w:t xml:space="preserve">property tax </w:t>
      </w:r>
      <w:r w:rsidR="006A052E">
        <w:rPr>
          <w:rFonts w:ascii="Times New Roman" w:hAnsi="Times New Roman" w:cs="Times New Roman"/>
          <w:sz w:val="24"/>
          <w:szCs w:val="24"/>
        </w:rPr>
        <w:t>operating</w:t>
      </w:r>
      <w:r w:rsidR="00F21940" w:rsidRPr="00746B15">
        <w:rPr>
          <w:rFonts w:ascii="Times New Roman" w:hAnsi="Times New Roman" w:cs="Times New Roman"/>
          <w:sz w:val="24"/>
          <w:szCs w:val="24"/>
        </w:rPr>
        <w:t xml:space="preserve"> revenues</w:t>
      </w:r>
      <w:r w:rsidR="006A052E">
        <w:rPr>
          <w:rFonts w:ascii="Times New Roman" w:hAnsi="Times New Roman" w:cs="Times New Roman"/>
          <w:sz w:val="24"/>
          <w:szCs w:val="24"/>
        </w:rPr>
        <w:t xml:space="preserve"> (referred to as maintenance and operations, or M&amp;O, revenues)</w:t>
      </w:r>
      <w:r w:rsidR="00F21940" w:rsidRPr="00746B15">
        <w:rPr>
          <w:rFonts w:ascii="Times New Roman" w:hAnsi="Times New Roman" w:cs="Times New Roman"/>
          <w:sz w:val="24"/>
          <w:szCs w:val="24"/>
        </w:rPr>
        <w:t xml:space="preserve"> for school districts </w:t>
      </w:r>
      <w:r w:rsidR="00FC32F3">
        <w:rPr>
          <w:rFonts w:ascii="Times New Roman" w:hAnsi="Times New Roman" w:cs="Times New Roman"/>
          <w:sz w:val="24"/>
          <w:szCs w:val="24"/>
        </w:rPr>
        <w:t>over the same period</w:t>
      </w:r>
      <w:r w:rsidR="00F21940">
        <w:rPr>
          <w:rFonts w:ascii="Times New Roman" w:hAnsi="Times New Roman" w:cs="Times New Roman"/>
          <w:sz w:val="24"/>
          <w:szCs w:val="24"/>
        </w:rPr>
        <w:t>.</w:t>
      </w:r>
      <w:r w:rsidR="00F21940">
        <w:rPr>
          <w:rStyle w:val="FootnoteReference"/>
          <w:rFonts w:ascii="Times New Roman" w:hAnsi="Times New Roman" w:cs="Times New Roman"/>
          <w:sz w:val="24"/>
          <w:szCs w:val="24"/>
        </w:rPr>
        <w:footnoteReference w:id="8"/>
      </w:r>
      <w:r w:rsidR="003636E4">
        <w:rPr>
          <w:rFonts w:ascii="Times New Roman" w:hAnsi="Times New Roman" w:cs="Times New Roman"/>
          <w:sz w:val="24"/>
          <w:szCs w:val="24"/>
        </w:rPr>
        <w:t xml:space="preserve">  Because income</w:t>
      </w:r>
      <w:r w:rsidR="006D1F22">
        <w:rPr>
          <w:rFonts w:ascii="Times New Roman" w:hAnsi="Times New Roman" w:cs="Times New Roman"/>
          <w:sz w:val="24"/>
          <w:szCs w:val="24"/>
        </w:rPr>
        <w:t>,</w:t>
      </w:r>
      <w:r w:rsidR="003636E4">
        <w:rPr>
          <w:rFonts w:ascii="Times New Roman" w:hAnsi="Times New Roman" w:cs="Times New Roman"/>
          <w:sz w:val="24"/>
          <w:szCs w:val="24"/>
        </w:rPr>
        <w:t xml:space="preserve"> population</w:t>
      </w:r>
      <w:r w:rsidR="006D1F22">
        <w:rPr>
          <w:rFonts w:ascii="Times New Roman" w:hAnsi="Times New Roman" w:cs="Times New Roman"/>
          <w:sz w:val="24"/>
          <w:szCs w:val="24"/>
        </w:rPr>
        <w:t xml:space="preserve"> and employment</w:t>
      </w:r>
      <w:r w:rsidR="003636E4">
        <w:rPr>
          <w:rFonts w:ascii="Times New Roman" w:hAnsi="Times New Roman" w:cs="Times New Roman"/>
          <w:sz w:val="24"/>
          <w:szCs w:val="24"/>
        </w:rPr>
        <w:t xml:space="preserve"> variables used in our regressions are on a county level, digest and revenue variables for city school districts are added to those for the county school systems in the same counties</w:t>
      </w:r>
      <w:r w:rsidR="00AA052A">
        <w:rPr>
          <w:rFonts w:ascii="Times New Roman" w:hAnsi="Times New Roman" w:cs="Times New Roman"/>
          <w:sz w:val="24"/>
          <w:szCs w:val="24"/>
        </w:rPr>
        <w:t xml:space="preserve"> to obtain countywide totals.</w:t>
      </w:r>
      <w:r w:rsidR="00AA052A">
        <w:rPr>
          <w:rStyle w:val="FootnoteReference"/>
          <w:rFonts w:ascii="Times New Roman" w:hAnsi="Times New Roman" w:cs="Times New Roman"/>
          <w:sz w:val="24"/>
          <w:szCs w:val="24"/>
        </w:rPr>
        <w:footnoteReference w:id="9"/>
      </w:r>
      <w:r w:rsidR="006D1F22">
        <w:rPr>
          <w:rFonts w:ascii="Times New Roman" w:hAnsi="Times New Roman" w:cs="Times New Roman"/>
          <w:sz w:val="24"/>
          <w:szCs w:val="24"/>
        </w:rPr>
        <w:t xml:space="preserve"> </w:t>
      </w:r>
      <w:r w:rsidR="006D1F22" w:rsidRPr="00621101">
        <w:rPr>
          <w:rFonts w:ascii="Times New Roman" w:hAnsi="Times New Roman" w:cs="Times New Roman"/>
          <w:sz w:val="24"/>
          <w:szCs w:val="24"/>
        </w:rPr>
        <w:t xml:space="preserve">Table </w:t>
      </w:r>
      <w:r w:rsidR="00497E15">
        <w:rPr>
          <w:rFonts w:ascii="Times New Roman" w:hAnsi="Times New Roman" w:cs="Times New Roman"/>
          <w:sz w:val="24"/>
          <w:szCs w:val="24"/>
        </w:rPr>
        <w:t>1</w:t>
      </w:r>
      <w:r w:rsidR="00497E15" w:rsidRPr="00621101">
        <w:rPr>
          <w:rFonts w:ascii="Times New Roman" w:hAnsi="Times New Roman" w:cs="Times New Roman"/>
          <w:sz w:val="24"/>
          <w:szCs w:val="24"/>
        </w:rPr>
        <w:t xml:space="preserve"> </w:t>
      </w:r>
      <w:r w:rsidR="006D1F22" w:rsidRPr="00621101">
        <w:rPr>
          <w:rFonts w:ascii="Times New Roman" w:hAnsi="Times New Roman" w:cs="Times New Roman"/>
          <w:sz w:val="24"/>
          <w:szCs w:val="24"/>
        </w:rPr>
        <w:t>contains descriptive statistics</w:t>
      </w:r>
      <w:r w:rsidR="006A052E">
        <w:rPr>
          <w:rFonts w:ascii="Times New Roman" w:hAnsi="Times New Roman" w:cs="Times New Roman"/>
          <w:sz w:val="24"/>
          <w:szCs w:val="24"/>
        </w:rPr>
        <w:t xml:space="preserve"> for these variables</w:t>
      </w:r>
      <w:r w:rsidR="006D1F22" w:rsidRPr="00621101">
        <w:rPr>
          <w:rFonts w:ascii="Times New Roman" w:hAnsi="Times New Roman" w:cs="Times New Roman"/>
          <w:sz w:val="24"/>
          <w:szCs w:val="24"/>
        </w:rPr>
        <w:t>.</w:t>
      </w:r>
    </w:p>
    <w:p w:rsidR="00746B15" w:rsidRPr="00746B15" w:rsidRDefault="00746B15" w:rsidP="00746B15">
      <w:pPr>
        <w:spacing w:after="0" w:line="480" w:lineRule="auto"/>
        <w:ind w:firstLine="720"/>
        <w:rPr>
          <w:rFonts w:ascii="Times New Roman" w:hAnsi="Times New Roman" w:cs="Times New Roman"/>
          <w:sz w:val="24"/>
          <w:szCs w:val="24"/>
        </w:rPr>
      </w:pPr>
      <w:r w:rsidRPr="00746B15">
        <w:rPr>
          <w:rFonts w:ascii="Times New Roman" w:hAnsi="Times New Roman" w:cs="Times New Roman"/>
          <w:sz w:val="24"/>
          <w:szCs w:val="24"/>
        </w:rPr>
        <w:t>Georgia is broadly similar to other states in the local government practice of and reliance upon property taxation, although there are some distinctive Georgia features.  Property tax assessment is conducted only by county governments in Georgia.  Property tax bases are all evaluated by the state every year</w:t>
      </w:r>
      <w:r w:rsidR="00C036CF">
        <w:rPr>
          <w:rFonts w:ascii="Times New Roman" w:hAnsi="Times New Roman" w:cs="Times New Roman"/>
          <w:sz w:val="24"/>
          <w:szCs w:val="24"/>
        </w:rPr>
        <w:t>, comparing actual sales of improved parcels during the year to assessed values</w:t>
      </w:r>
      <w:r w:rsidRPr="00746B15">
        <w:rPr>
          <w:rFonts w:ascii="Times New Roman" w:hAnsi="Times New Roman" w:cs="Times New Roman"/>
          <w:sz w:val="24"/>
          <w:szCs w:val="24"/>
        </w:rPr>
        <w:t xml:space="preserve"> to determine if they are at the appropriate assessment level</w:t>
      </w:r>
      <w:r w:rsidR="00A31E17">
        <w:rPr>
          <w:rFonts w:ascii="Times New Roman" w:hAnsi="Times New Roman" w:cs="Times New Roman"/>
          <w:sz w:val="24"/>
          <w:szCs w:val="24"/>
        </w:rPr>
        <w:t xml:space="preserve"> relative to fair market value</w:t>
      </w:r>
      <w:r w:rsidRPr="00746B15">
        <w:rPr>
          <w:rFonts w:ascii="Times New Roman" w:hAnsi="Times New Roman" w:cs="Times New Roman"/>
          <w:sz w:val="24"/>
          <w:szCs w:val="24"/>
        </w:rPr>
        <w:t>, which is legally set at 40 percent.</w:t>
      </w:r>
      <w:r w:rsidRPr="00746B15">
        <w:rPr>
          <w:rStyle w:val="FootnoteReference"/>
          <w:rFonts w:ascii="Times New Roman" w:hAnsi="Times New Roman" w:cs="Times New Roman"/>
          <w:sz w:val="24"/>
          <w:szCs w:val="24"/>
        </w:rPr>
        <w:footnoteReference w:id="10"/>
      </w:r>
      <w:r w:rsidRPr="00746B15">
        <w:rPr>
          <w:rFonts w:ascii="Times New Roman" w:hAnsi="Times New Roman" w:cs="Times New Roman"/>
          <w:sz w:val="24"/>
          <w:szCs w:val="24"/>
        </w:rPr>
        <w:t xml:space="preserve">  </w:t>
      </w:r>
      <w:r w:rsidR="00C036CF">
        <w:rPr>
          <w:rFonts w:ascii="Times New Roman" w:hAnsi="Times New Roman" w:cs="Times New Roman"/>
          <w:sz w:val="24"/>
          <w:szCs w:val="24"/>
        </w:rPr>
        <w:t>The resultin</w:t>
      </w:r>
      <w:r w:rsidR="00BF0FF4">
        <w:rPr>
          <w:rFonts w:ascii="Times New Roman" w:hAnsi="Times New Roman" w:cs="Times New Roman"/>
          <w:sz w:val="24"/>
          <w:szCs w:val="24"/>
        </w:rPr>
        <w:t>g “sales ratio studies” report</w:t>
      </w:r>
      <w:r w:rsidR="00C036CF">
        <w:rPr>
          <w:rFonts w:ascii="Times New Roman" w:hAnsi="Times New Roman" w:cs="Times New Roman"/>
          <w:sz w:val="24"/>
          <w:szCs w:val="24"/>
        </w:rPr>
        <w:t xml:space="preserve"> an “adjusted 100% digest” figure for each school district in the state</w:t>
      </w:r>
      <w:r w:rsidR="00BF0FF4">
        <w:rPr>
          <w:rFonts w:ascii="Times New Roman" w:hAnsi="Times New Roman" w:cs="Times New Roman"/>
          <w:sz w:val="24"/>
          <w:szCs w:val="24"/>
        </w:rPr>
        <w:t>, along with the calculated ratio</w:t>
      </w:r>
      <w:r w:rsidR="00C036CF">
        <w:rPr>
          <w:rFonts w:ascii="Times New Roman" w:hAnsi="Times New Roman" w:cs="Times New Roman"/>
          <w:sz w:val="24"/>
          <w:szCs w:val="24"/>
        </w:rPr>
        <w:t xml:space="preserve">.  We use these adjusted digest data, covering the periods 2000 through 2011, as a measure of the </w:t>
      </w:r>
      <w:r w:rsidR="006C35C9">
        <w:rPr>
          <w:rFonts w:ascii="Times New Roman" w:hAnsi="Times New Roman" w:cs="Times New Roman"/>
          <w:sz w:val="24"/>
          <w:szCs w:val="24"/>
        </w:rPr>
        <w:t>market value of property in the jurisdiction.</w:t>
      </w:r>
    </w:p>
    <w:p w:rsidR="00746B15" w:rsidRDefault="00746B15" w:rsidP="00746B15">
      <w:pPr>
        <w:spacing w:after="0" w:line="480" w:lineRule="auto"/>
        <w:ind w:firstLine="720"/>
        <w:rPr>
          <w:rFonts w:ascii="Times New Roman" w:hAnsi="Times New Roman" w:cs="Times New Roman"/>
          <w:sz w:val="24"/>
          <w:szCs w:val="24"/>
        </w:rPr>
      </w:pPr>
      <w:r w:rsidRPr="00746B15">
        <w:rPr>
          <w:rFonts w:ascii="Times New Roman" w:hAnsi="Times New Roman" w:cs="Times New Roman"/>
          <w:sz w:val="24"/>
          <w:szCs w:val="24"/>
        </w:rPr>
        <w:t xml:space="preserve">Georgia has very few </w:t>
      </w:r>
      <w:r w:rsidR="008B2FAC">
        <w:rPr>
          <w:rFonts w:ascii="Times New Roman" w:hAnsi="Times New Roman" w:cs="Times New Roman"/>
          <w:sz w:val="24"/>
          <w:szCs w:val="24"/>
        </w:rPr>
        <w:t xml:space="preserve">institutional </w:t>
      </w:r>
      <w:r w:rsidRPr="00746B15">
        <w:rPr>
          <w:rFonts w:ascii="Times New Roman" w:hAnsi="Times New Roman" w:cs="Times New Roman"/>
          <w:sz w:val="24"/>
          <w:szCs w:val="24"/>
        </w:rPr>
        <w:t xml:space="preserve">property tax limitations.  School district boards can generally set their property tax </w:t>
      </w:r>
      <w:r w:rsidR="008B2FAC">
        <w:rPr>
          <w:rFonts w:ascii="Times New Roman" w:hAnsi="Times New Roman" w:cs="Times New Roman"/>
          <w:sz w:val="24"/>
          <w:szCs w:val="24"/>
        </w:rPr>
        <w:t xml:space="preserve">millage </w:t>
      </w:r>
      <w:r w:rsidRPr="00746B15">
        <w:rPr>
          <w:rFonts w:ascii="Times New Roman" w:hAnsi="Times New Roman" w:cs="Times New Roman"/>
          <w:sz w:val="24"/>
          <w:szCs w:val="24"/>
        </w:rPr>
        <w:t>rates without voter approval</w:t>
      </w:r>
      <w:r w:rsidR="008B2FAC">
        <w:rPr>
          <w:rFonts w:ascii="Times New Roman" w:hAnsi="Times New Roman" w:cs="Times New Roman"/>
          <w:sz w:val="24"/>
          <w:szCs w:val="24"/>
        </w:rPr>
        <w:t>, provided</w:t>
      </w:r>
      <w:r w:rsidRPr="00746B15">
        <w:rPr>
          <w:rFonts w:ascii="Times New Roman" w:hAnsi="Times New Roman" w:cs="Times New Roman"/>
          <w:sz w:val="24"/>
          <w:szCs w:val="24"/>
        </w:rPr>
        <w:t xml:space="preserve"> that the property tax rate for county school districts</w:t>
      </w:r>
      <w:r w:rsidR="009E2C66">
        <w:rPr>
          <w:rFonts w:ascii="Times New Roman" w:hAnsi="Times New Roman" w:cs="Times New Roman"/>
          <w:sz w:val="24"/>
          <w:szCs w:val="24"/>
        </w:rPr>
        <w:t>, but not city school districts,</w:t>
      </w:r>
      <w:r w:rsidRPr="00746B15">
        <w:rPr>
          <w:rFonts w:ascii="Times New Roman" w:hAnsi="Times New Roman" w:cs="Times New Roman"/>
          <w:sz w:val="24"/>
          <w:szCs w:val="24"/>
        </w:rPr>
        <w:t xml:space="preserve"> cannot exceed 20 mills without voter </w:t>
      </w:r>
      <w:r w:rsidRPr="00746B15">
        <w:rPr>
          <w:rFonts w:ascii="Times New Roman" w:hAnsi="Times New Roman" w:cs="Times New Roman"/>
          <w:sz w:val="24"/>
          <w:szCs w:val="24"/>
        </w:rPr>
        <w:lastRenderedPageBreak/>
        <w:t>approval</w:t>
      </w:r>
      <w:r w:rsidR="008B2FAC">
        <w:rPr>
          <w:rFonts w:ascii="Times New Roman" w:hAnsi="Times New Roman" w:cs="Times New Roman"/>
          <w:sz w:val="24"/>
          <w:szCs w:val="24"/>
        </w:rPr>
        <w:t>.</w:t>
      </w:r>
      <w:r w:rsidR="00B52D5D">
        <w:rPr>
          <w:rStyle w:val="FootnoteReference"/>
          <w:rFonts w:ascii="Times New Roman" w:hAnsi="Times New Roman" w:cs="Times New Roman"/>
          <w:sz w:val="24"/>
          <w:szCs w:val="24"/>
        </w:rPr>
        <w:footnoteReference w:id="11"/>
      </w:r>
      <w:r w:rsidRPr="00746B15">
        <w:rPr>
          <w:rFonts w:ascii="Times New Roman" w:hAnsi="Times New Roman" w:cs="Times New Roman"/>
          <w:sz w:val="24"/>
          <w:szCs w:val="24"/>
        </w:rPr>
        <w:t xml:space="preserve">  Also, there is no general assessment limitation, although one county has an assessment freeze on homesteaded property.  Note that in 2009 the State of Georgia imposed a temporary freeze on assessments across the state, </w:t>
      </w:r>
      <w:r w:rsidR="008B2FAC">
        <w:rPr>
          <w:rFonts w:ascii="Times New Roman" w:hAnsi="Times New Roman" w:cs="Times New Roman"/>
          <w:sz w:val="24"/>
          <w:szCs w:val="24"/>
        </w:rPr>
        <w:t xml:space="preserve">potentially </w:t>
      </w:r>
      <w:r w:rsidR="00A03926">
        <w:rPr>
          <w:rFonts w:ascii="Times New Roman" w:hAnsi="Times New Roman" w:cs="Times New Roman"/>
          <w:sz w:val="24"/>
          <w:szCs w:val="24"/>
        </w:rPr>
        <w:t xml:space="preserve">affecting </w:t>
      </w:r>
      <w:r w:rsidRPr="00746B15">
        <w:rPr>
          <w:rFonts w:ascii="Times New Roman" w:hAnsi="Times New Roman" w:cs="Times New Roman"/>
          <w:sz w:val="24"/>
          <w:szCs w:val="24"/>
        </w:rPr>
        <w:t xml:space="preserve">property tax revenue only in school </w:t>
      </w:r>
      <w:r w:rsidR="00A03926">
        <w:rPr>
          <w:rFonts w:ascii="Times New Roman" w:hAnsi="Times New Roman" w:cs="Times New Roman"/>
          <w:sz w:val="24"/>
          <w:szCs w:val="24"/>
        </w:rPr>
        <w:t>year/fiscal year 2010</w:t>
      </w:r>
      <w:r w:rsidRPr="00746B15">
        <w:rPr>
          <w:rFonts w:ascii="Times New Roman" w:hAnsi="Times New Roman" w:cs="Times New Roman"/>
          <w:sz w:val="24"/>
          <w:szCs w:val="24"/>
        </w:rPr>
        <w:t>.</w:t>
      </w:r>
      <w:r w:rsidR="008B2FAC">
        <w:rPr>
          <w:rFonts w:ascii="Times New Roman" w:hAnsi="Times New Roman" w:cs="Times New Roman"/>
          <w:sz w:val="24"/>
          <w:szCs w:val="24"/>
        </w:rPr>
        <w:t xml:space="preserve">  However, with net and adjusted digests declining on a per capita basis</w:t>
      </w:r>
      <w:r w:rsidR="00CB747C">
        <w:rPr>
          <w:rFonts w:ascii="Times New Roman" w:hAnsi="Times New Roman" w:cs="Times New Roman"/>
          <w:sz w:val="24"/>
          <w:szCs w:val="24"/>
        </w:rPr>
        <w:t xml:space="preserve"> for most counties in 2009 through 2011, it is not likely that the freeze has had a material negative effect on assessments.  Figures 1 and 2 show the distributions of annual changes, respectively, in per capita net digest and</w:t>
      </w:r>
      <w:r w:rsidR="00CB747C" w:rsidRPr="00CB747C">
        <w:rPr>
          <w:rFonts w:ascii="Times New Roman" w:hAnsi="Times New Roman" w:cs="Times New Roman"/>
          <w:sz w:val="24"/>
          <w:szCs w:val="24"/>
        </w:rPr>
        <w:t xml:space="preserve"> </w:t>
      </w:r>
      <w:r w:rsidR="00CB747C">
        <w:rPr>
          <w:rFonts w:ascii="Times New Roman" w:hAnsi="Times New Roman" w:cs="Times New Roman"/>
          <w:sz w:val="24"/>
          <w:szCs w:val="24"/>
        </w:rPr>
        <w:t>per capita adjusted 100</w:t>
      </w:r>
      <w:r w:rsidR="00BF0FF4">
        <w:rPr>
          <w:rFonts w:ascii="Times New Roman" w:hAnsi="Times New Roman" w:cs="Times New Roman"/>
          <w:sz w:val="24"/>
          <w:szCs w:val="24"/>
        </w:rPr>
        <w:t>%</w:t>
      </w:r>
      <w:r w:rsidR="00CB747C">
        <w:rPr>
          <w:rFonts w:ascii="Times New Roman" w:hAnsi="Times New Roman" w:cs="Times New Roman"/>
          <w:sz w:val="24"/>
          <w:szCs w:val="24"/>
        </w:rPr>
        <w:t xml:space="preserve"> digest across the 159 counties from 2001 through 2011.</w:t>
      </w:r>
      <w:r w:rsidR="00B52D5D">
        <w:rPr>
          <w:rFonts w:ascii="Times New Roman" w:hAnsi="Times New Roman" w:cs="Times New Roman"/>
          <w:sz w:val="24"/>
          <w:szCs w:val="24"/>
        </w:rPr>
        <w:t xml:space="preserve"> (Note that the bar in the box represents the median and the box captures the observations in the 2</w:t>
      </w:r>
      <w:r w:rsidR="00B52D5D" w:rsidRPr="00B52D5D">
        <w:rPr>
          <w:rFonts w:ascii="Times New Roman" w:hAnsi="Times New Roman" w:cs="Times New Roman"/>
          <w:sz w:val="24"/>
          <w:szCs w:val="24"/>
          <w:vertAlign w:val="superscript"/>
        </w:rPr>
        <w:t>nd</w:t>
      </w:r>
      <w:r w:rsidR="00B52D5D">
        <w:rPr>
          <w:rFonts w:ascii="Times New Roman" w:hAnsi="Times New Roman" w:cs="Times New Roman"/>
          <w:sz w:val="24"/>
          <w:szCs w:val="24"/>
        </w:rPr>
        <w:t xml:space="preserve"> and 3</w:t>
      </w:r>
      <w:r w:rsidR="00B52D5D" w:rsidRPr="00B52D5D">
        <w:rPr>
          <w:rFonts w:ascii="Times New Roman" w:hAnsi="Times New Roman" w:cs="Times New Roman"/>
          <w:sz w:val="24"/>
          <w:szCs w:val="24"/>
          <w:vertAlign w:val="superscript"/>
        </w:rPr>
        <w:t>rd</w:t>
      </w:r>
      <w:r w:rsidR="00B52D5D">
        <w:rPr>
          <w:rFonts w:ascii="Times New Roman" w:hAnsi="Times New Roman" w:cs="Times New Roman"/>
          <w:sz w:val="24"/>
          <w:szCs w:val="24"/>
        </w:rPr>
        <w:t xml:space="preserve"> quartile.)</w:t>
      </w:r>
    </w:p>
    <w:p w:rsidR="00746B15" w:rsidRPr="00746B15" w:rsidRDefault="00746B15" w:rsidP="00746B15">
      <w:pPr>
        <w:spacing w:after="0" w:line="480" w:lineRule="auto"/>
        <w:ind w:firstLine="720"/>
        <w:rPr>
          <w:rFonts w:ascii="Times New Roman" w:hAnsi="Times New Roman" w:cs="Times New Roman"/>
          <w:sz w:val="24"/>
          <w:szCs w:val="24"/>
        </w:rPr>
      </w:pPr>
      <w:r w:rsidRPr="00746B15">
        <w:rPr>
          <w:rFonts w:ascii="Times New Roman" w:hAnsi="Times New Roman" w:cs="Times New Roman"/>
          <w:sz w:val="24"/>
          <w:szCs w:val="24"/>
        </w:rPr>
        <w:t>State and local school districts contribute about equal amounts of revenue for K-12 education.  The bulk of the grant to local districts is through a foundation program; the state has a small equalization grant program as well.</w:t>
      </w:r>
      <w:r w:rsidRPr="00746B15">
        <w:rPr>
          <w:rStyle w:val="FootnoteReference"/>
          <w:rFonts w:ascii="Times New Roman" w:hAnsi="Times New Roman" w:cs="Times New Roman"/>
          <w:sz w:val="24"/>
          <w:szCs w:val="24"/>
        </w:rPr>
        <w:footnoteReference w:id="12"/>
      </w:r>
      <w:r w:rsidRPr="00746B15">
        <w:rPr>
          <w:rFonts w:ascii="Times New Roman" w:hAnsi="Times New Roman" w:cs="Times New Roman"/>
          <w:sz w:val="24"/>
          <w:szCs w:val="24"/>
        </w:rPr>
        <w:t xml:space="preserve">  There were no changes in the nature of the funding formula during the period of our analysis. </w:t>
      </w:r>
    </w:p>
    <w:p w:rsidR="0070486A" w:rsidRDefault="0070486A" w:rsidP="0070486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Figure </w:t>
      </w:r>
      <w:r w:rsidR="00D67E3C">
        <w:rPr>
          <w:rFonts w:ascii="Times New Roman" w:hAnsi="Times New Roman" w:cs="Times New Roman"/>
          <w:sz w:val="24"/>
          <w:szCs w:val="24"/>
        </w:rPr>
        <w:t xml:space="preserve">3 </w:t>
      </w:r>
      <w:r>
        <w:rPr>
          <w:rFonts w:ascii="Times New Roman" w:hAnsi="Times New Roman" w:cs="Times New Roman"/>
          <w:sz w:val="24"/>
          <w:szCs w:val="24"/>
        </w:rPr>
        <w:t xml:space="preserve">shows local revenue per full time equivalent (FTE) student and property taxes per FTE in Georgia over the period 2001 through 2011 for the maintenance and operation (M&amp;O) budget for all local school systems.  </w:t>
      </w:r>
      <w:r w:rsidR="00D67E3C">
        <w:rPr>
          <w:rFonts w:ascii="Times New Roman" w:hAnsi="Times New Roman" w:cs="Times New Roman"/>
          <w:sz w:val="24"/>
          <w:szCs w:val="24"/>
        </w:rPr>
        <w:t>Note first that</w:t>
      </w:r>
      <w:r>
        <w:rPr>
          <w:rFonts w:ascii="Times New Roman" w:hAnsi="Times New Roman" w:cs="Times New Roman"/>
          <w:sz w:val="24"/>
          <w:szCs w:val="24"/>
        </w:rPr>
        <w:t xml:space="preserve">, for the M&amp;O budget in 2011, property taxes </w:t>
      </w:r>
      <w:r w:rsidR="00D67E3C">
        <w:rPr>
          <w:rFonts w:ascii="Times New Roman" w:hAnsi="Times New Roman" w:cs="Times New Roman"/>
          <w:sz w:val="24"/>
          <w:szCs w:val="24"/>
        </w:rPr>
        <w:t xml:space="preserve">accounted for about </w:t>
      </w:r>
      <w:r>
        <w:rPr>
          <w:rFonts w:ascii="Times New Roman" w:hAnsi="Times New Roman" w:cs="Times New Roman"/>
          <w:sz w:val="24"/>
          <w:szCs w:val="24"/>
        </w:rPr>
        <w:t xml:space="preserve">96 percent of total local school revenues and 98 percent of all property taxes collected by local school systems.  </w:t>
      </w:r>
      <w:r w:rsidR="00C26610">
        <w:rPr>
          <w:rFonts w:ascii="Times New Roman" w:hAnsi="Times New Roman" w:cs="Times New Roman"/>
          <w:sz w:val="24"/>
          <w:szCs w:val="24"/>
        </w:rPr>
        <w:t xml:space="preserve">This is the </w:t>
      </w:r>
      <w:r w:rsidR="00D67E3C">
        <w:rPr>
          <w:rFonts w:ascii="Times New Roman" w:hAnsi="Times New Roman" w:cs="Times New Roman"/>
          <w:sz w:val="24"/>
          <w:szCs w:val="24"/>
        </w:rPr>
        <w:t>highe</w:t>
      </w:r>
      <w:r w:rsidR="00C26610">
        <w:rPr>
          <w:rFonts w:ascii="Times New Roman" w:hAnsi="Times New Roman" w:cs="Times New Roman"/>
          <w:sz w:val="24"/>
          <w:szCs w:val="24"/>
        </w:rPr>
        <w:t>st</w:t>
      </w:r>
      <w:r w:rsidR="00D67E3C">
        <w:rPr>
          <w:rFonts w:ascii="Times New Roman" w:hAnsi="Times New Roman" w:cs="Times New Roman"/>
          <w:sz w:val="24"/>
          <w:szCs w:val="24"/>
        </w:rPr>
        <w:t xml:space="preserve"> portion of total local source revenues over the </w:t>
      </w:r>
      <w:r w:rsidR="00C26610">
        <w:rPr>
          <w:rFonts w:ascii="Times New Roman" w:hAnsi="Times New Roman" w:cs="Times New Roman"/>
          <w:sz w:val="24"/>
          <w:szCs w:val="24"/>
        </w:rPr>
        <w:t>last</w:t>
      </w:r>
      <w:r w:rsidR="00D67E3C">
        <w:rPr>
          <w:rFonts w:ascii="Times New Roman" w:hAnsi="Times New Roman" w:cs="Times New Roman"/>
          <w:sz w:val="24"/>
          <w:szCs w:val="24"/>
        </w:rPr>
        <w:t xml:space="preserve"> decade; for 2009</w:t>
      </w:r>
      <w:r w:rsidR="00D00DD3">
        <w:rPr>
          <w:rFonts w:ascii="Times New Roman" w:hAnsi="Times New Roman" w:cs="Times New Roman"/>
          <w:sz w:val="24"/>
          <w:szCs w:val="24"/>
        </w:rPr>
        <w:t xml:space="preserve"> and 2006</w:t>
      </w:r>
      <w:r w:rsidR="00D67E3C">
        <w:rPr>
          <w:rFonts w:ascii="Times New Roman" w:hAnsi="Times New Roman" w:cs="Times New Roman"/>
          <w:sz w:val="24"/>
          <w:szCs w:val="24"/>
        </w:rPr>
        <w:t>, property taxes accounted for about 9</w:t>
      </w:r>
      <w:r w:rsidR="00D00DD3">
        <w:rPr>
          <w:rFonts w:ascii="Times New Roman" w:hAnsi="Times New Roman" w:cs="Times New Roman"/>
          <w:sz w:val="24"/>
          <w:szCs w:val="24"/>
        </w:rPr>
        <w:t>3</w:t>
      </w:r>
      <w:r w:rsidR="00D67E3C">
        <w:rPr>
          <w:rFonts w:ascii="Times New Roman" w:hAnsi="Times New Roman" w:cs="Times New Roman"/>
          <w:sz w:val="24"/>
          <w:szCs w:val="24"/>
        </w:rPr>
        <w:t xml:space="preserve"> percent of the total</w:t>
      </w:r>
      <w:r w:rsidR="00BF0FF4">
        <w:rPr>
          <w:rFonts w:ascii="Times New Roman" w:hAnsi="Times New Roman" w:cs="Times New Roman"/>
          <w:sz w:val="24"/>
          <w:szCs w:val="24"/>
        </w:rPr>
        <w:t>,</w:t>
      </w:r>
      <w:r w:rsidR="00D00DD3">
        <w:rPr>
          <w:rFonts w:ascii="Times New Roman" w:hAnsi="Times New Roman" w:cs="Times New Roman"/>
          <w:sz w:val="24"/>
          <w:szCs w:val="24"/>
        </w:rPr>
        <w:t xml:space="preserve"> </w:t>
      </w:r>
      <w:r w:rsidR="00C26610">
        <w:rPr>
          <w:rFonts w:ascii="Times New Roman" w:hAnsi="Times New Roman" w:cs="Times New Roman"/>
          <w:sz w:val="24"/>
          <w:szCs w:val="24"/>
        </w:rPr>
        <w:t xml:space="preserve">and </w:t>
      </w:r>
      <w:r w:rsidR="00BF0FF4">
        <w:rPr>
          <w:rFonts w:ascii="Times New Roman" w:hAnsi="Times New Roman" w:cs="Times New Roman"/>
          <w:sz w:val="24"/>
          <w:szCs w:val="24"/>
        </w:rPr>
        <w:t xml:space="preserve">property taxes accounted for </w:t>
      </w:r>
      <w:r w:rsidR="00C26610">
        <w:rPr>
          <w:rFonts w:ascii="Times New Roman" w:hAnsi="Times New Roman" w:cs="Times New Roman"/>
          <w:sz w:val="24"/>
          <w:szCs w:val="24"/>
        </w:rPr>
        <w:t>91 percent in 2001</w:t>
      </w:r>
      <w:r w:rsidR="00D67E3C">
        <w:rPr>
          <w:rFonts w:ascii="Times New Roman" w:hAnsi="Times New Roman" w:cs="Times New Roman"/>
          <w:sz w:val="24"/>
          <w:szCs w:val="24"/>
        </w:rPr>
        <w:t xml:space="preserve">. </w:t>
      </w:r>
      <w:r>
        <w:rPr>
          <w:rFonts w:ascii="Times New Roman" w:hAnsi="Times New Roman" w:cs="Times New Roman"/>
          <w:sz w:val="24"/>
          <w:szCs w:val="24"/>
        </w:rPr>
        <w:t xml:space="preserve"> </w:t>
      </w:r>
      <w:r w:rsidR="00BF0FF4">
        <w:rPr>
          <w:rFonts w:ascii="Times New Roman" w:hAnsi="Times New Roman" w:cs="Times New Roman"/>
          <w:sz w:val="24"/>
          <w:szCs w:val="24"/>
        </w:rPr>
        <w:t>Alt</w:t>
      </w:r>
      <w:r w:rsidR="00D67E3C">
        <w:rPr>
          <w:rFonts w:ascii="Times New Roman" w:hAnsi="Times New Roman" w:cs="Times New Roman"/>
          <w:sz w:val="24"/>
          <w:szCs w:val="24"/>
        </w:rPr>
        <w:t>hough</w:t>
      </w:r>
      <w:r>
        <w:rPr>
          <w:rFonts w:ascii="Times New Roman" w:hAnsi="Times New Roman" w:cs="Times New Roman"/>
          <w:sz w:val="24"/>
          <w:szCs w:val="24"/>
        </w:rPr>
        <w:t xml:space="preserve"> property taxes per FTE peaked in 2009</w:t>
      </w:r>
      <w:r w:rsidR="00D67E3C">
        <w:rPr>
          <w:rFonts w:ascii="Times New Roman" w:hAnsi="Times New Roman" w:cs="Times New Roman"/>
          <w:sz w:val="24"/>
          <w:szCs w:val="24"/>
        </w:rPr>
        <w:t xml:space="preserve"> along with the total, the decline in other local revenues (e.g. local option sales taxes)</w:t>
      </w:r>
      <w:r w:rsidR="00C26610">
        <w:rPr>
          <w:rFonts w:ascii="Times New Roman" w:hAnsi="Times New Roman" w:cs="Times New Roman"/>
          <w:sz w:val="24"/>
          <w:szCs w:val="24"/>
        </w:rPr>
        <w:t xml:space="preserve"> has been sharper</w:t>
      </w:r>
      <w:r w:rsidR="00621101">
        <w:rPr>
          <w:rFonts w:ascii="Times New Roman" w:hAnsi="Times New Roman" w:cs="Times New Roman"/>
          <w:sz w:val="24"/>
          <w:szCs w:val="24"/>
        </w:rPr>
        <w:t xml:space="preserve">, or </w:t>
      </w:r>
      <w:r w:rsidR="00C26610">
        <w:rPr>
          <w:rFonts w:ascii="Times New Roman" w:hAnsi="Times New Roman" w:cs="Times New Roman"/>
          <w:sz w:val="24"/>
          <w:szCs w:val="24"/>
        </w:rPr>
        <w:t xml:space="preserve">a </w:t>
      </w:r>
      <w:r w:rsidR="00B52D5D">
        <w:rPr>
          <w:rFonts w:ascii="Times New Roman" w:hAnsi="Times New Roman" w:cs="Times New Roman"/>
          <w:sz w:val="24"/>
          <w:szCs w:val="24"/>
        </w:rPr>
        <w:t>10.</w:t>
      </w:r>
      <w:r w:rsidR="00D00DD3">
        <w:rPr>
          <w:rFonts w:ascii="Times New Roman" w:hAnsi="Times New Roman" w:cs="Times New Roman"/>
          <w:sz w:val="24"/>
          <w:szCs w:val="24"/>
        </w:rPr>
        <w:t>9</w:t>
      </w:r>
      <w:r w:rsidR="00C26610">
        <w:rPr>
          <w:rFonts w:ascii="Times New Roman" w:hAnsi="Times New Roman" w:cs="Times New Roman"/>
          <w:sz w:val="24"/>
          <w:szCs w:val="24"/>
        </w:rPr>
        <w:t xml:space="preserve"> percent </w:t>
      </w:r>
      <w:r w:rsidR="00421BE2">
        <w:rPr>
          <w:rFonts w:ascii="Times New Roman" w:hAnsi="Times New Roman" w:cs="Times New Roman"/>
          <w:sz w:val="24"/>
          <w:szCs w:val="24"/>
        </w:rPr>
        <w:t xml:space="preserve">real </w:t>
      </w:r>
      <w:r w:rsidR="00C26610">
        <w:rPr>
          <w:rFonts w:ascii="Times New Roman" w:hAnsi="Times New Roman" w:cs="Times New Roman"/>
          <w:sz w:val="24"/>
          <w:szCs w:val="24"/>
        </w:rPr>
        <w:t xml:space="preserve">decline for property taxes compared to an 11.1 percent </w:t>
      </w:r>
      <w:r w:rsidR="00421BE2">
        <w:rPr>
          <w:rFonts w:ascii="Times New Roman" w:hAnsi="Times New Roman" w:cs="Times New Roman"/>
          <w:sz w:val="24"/>
          <w:szCs w:val="24"/>
        </w:rPr>
        <w:t xml:space="preserve">real </w:t>
      </w:r>
      <w:r w:rsidR="00C26610">
        <w:rPr>
          <w:rFonts w:ascii="Times New Roman" w:hAnsi="Times New Roman" w:cs="Times New Roman"/>
          <w:sz w:val="24"/>
          <w:szCs w:val="24"/>
        </w:rPr>
        <w:t xml:space="preserve">decline </w:t>
      </w:r>
      <w:r w:rsidR="00B52D5D">
        <w:rPr>
          <w:rFonts w:ascii="Times New Roman" w:hAnsi="Times New Roman" w:cs="Times New Roman"/>
          <w:sz w:val="24"/>
          <w:szCs w:val="24"/>
        </w:rPr>
        <w:t xml:space="preserve">in </w:t>
      </w:r>
      <w:r w:rsidR="00C26610">
        <w:rPr>
          <w:rFonts w:ascii="Times New Roman" w:hAnsi="Times New Roman" w:cs="Times New Roman"/>
          <w:sz w:val="24"/>
          <w:szCs w:val="24"/>
        </w:rPr>
        <w:t>overall</w:t>
      </w:r>
      <w:r w:rsidR="00B52D5D">
        <w:rPr>
          <w:rFonts w:ascii="Times New Roman" w:hAnsi="Times New Roman" w:cs="Times New Roman"/>
          <w:sz w:val="24"/>
          <w:szCs w:val="24"/>
        </w:rPr>
        <w:t xml:space="preserve"> revenue</w:t>
      </w:r>
      <w:r>
        <w:rPr>
          <w:rFonts w:ascii="Times New Roman" w:hAnsi="Times New Roman" w:cs="Times New Roman"/>
          <w:sz w:val="24"/>
          <w:szCs w:val="24"/>
        </w:rPr>
        <w:t>.</w:t>
      </w:r>
      <w:r w:rsidR="00B52D5D">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1B7E03" w:rsidRDefault="001B7E03" w:rsidP="001B7E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w:t>
      </w:r>
      <w:r w:rsidR="00BF0FF4">
        <w:rPr>
          <w:rFonts w:ascii="Times New Roman" w:hAnsi="Times New Roman" w:cs="Times New Roman"/>
          <w:sz w:val="24"/>
          <w:szCs w:val="24"/>
        </w:rPr>
        <w:t>is</w:t>
      </w:r>
      <w:r>
        <w:rPr>
          <w:rFonts w:ascii="Times New Roman" w:hAnsi="Times New Roman" w:cs="Times New Roman"/>
          <w:sz w:val="24"/>
          <w:szCs w:val="24"/>
        </w:rPr>
        <w:t xml:space="preserve"> considerable variation across the school systems in the annual changes in property tax revenues.  Figure 4 depicts the distribution of </w:t>
      </w:r>
      <w:r w:rsidR="00421BE2">
        <w:rPr>
          <w:rFonts w:ascii="Times New Roman" w:hAnsi="Times New Roman" w:cs="Times New Roman"/>
          <w:sz w:val="24"/>
          <w:szCs w:val="24"/>
        </w:rPr>
        <w:t xml:space="preserve">nominal </w:t>
      </w:r>
      <w:r>
        <w:rPr>
          <w:rFonts w:ascii="Times New Roman" w:hAnsi="Times New Roman" w:cs="Times New Roman"/>
          <w:sz w:val="24"/>
          <w:szCs w:val="24"/>
        </w:rPr>
        <w:t xml:space="preserve">changes by county in total M&amp;O property tax revenues since </w:t>
      </w:r>
      <w:r w:rsidR="00421BE2">
        <w:rPr>
          <w:rFonts w:ascii="Times New Roman" w:hAnsi="Times New Roman" w:cs="Times New Roman"/>
          <w:sz w:val="24"/>
          <w:szCs w:val="24"/>
        </w:rPr>
        <w:t>2001</w:t>
      </w:r>
      <w:r>
        <w:rPr>
          <w:rFonts w:ascii="Times New Roman" w:hAnsi="Times New Roman" w:cs="Times New Roman"/>
          <w:sz w:val="24"/>
          <w:szCs w:val="24"/>
        </w:rPr>
        <w:t>.</w:t>
      </w:r>
      <w:r w:rsidR="00421BE2">
        <w:rPr>
          <w:rFonts w:ascii="Times New Roman" w:hAnsi="Times New Roman" w:cs="Times New Roman"/>
          <w:sz w:val="24"/>
          <w:szCs w:val="24"/>
        </w:rPr>
        <w:t xml:space="preserve">  Even in the latest three years of declining property values, about half or more of counties each year realized positive nominal growth</w:t>
      </w:r>
      <w:r w:rsidR="00315983" w:rsidRPr="00315983">
        <w:rPr>
          <w:rFonts w:ascii="Times New Roman" w:hAnsi="Times New Roman" w:cs="Times New Roman"/>
          <w:sz w:val="24"/>
          <w:szCs w:val="24"/>
        </w:rPr>
        <w:t xml:space="preserve"> </w:t>
      </w:r>
      <w:r w:rsidR="00315983">
        <w:rPr>
          <w:rFonts w:ascii="Times New Roman" w:hAnsi="Times New Roman" w:cs="Times New Roman"/>
          <w:sz w:val="24"/>
          <w:szCs w:val="24"/>
        </w:rPr>
        <w:t>in property tax revenue</w:t>
      </w:r>
      <w:r w:rsidR="00421BE2">
        <w:rPr>
          <w:rFonts w:ascii="Times New Roman" w:hAnsi="Times New Roman" w:cs="Times New Roman"/>
          <w:sz w:val="24"/>
          <w:szCs w:val="24"/>
        </w:rPr>
        <w:t>.</w:t>
      </w:r>
    </w:p>
    <w:p w:rsidR="00197294" w:rsidRDefault="000246C2" w:rsidP="001B7E03">
      <w:pPr>
        <w:spacing w:after="0" w:line="480" w:lineRule="auto"/>
        <w:ind w:firstLine="720"/>
        <w:rPr>
          <w:rFonts w:ascii="Times New Roman" w:hAnsi="Times New Roman" w:cs="Times New Roman"/>
          <w:sz w:val="24"/>
          <w:szCs w:val="24"/>
        </w:rPr>
      </w:pPr>
      <w:r w:rsidRPr="00A066C3">
        <w:rPr>
          <w:rFonts w:ascii="Times New Roman" w:hAnsi="Times New Roman" w:cs="Times New Roman"/>
          <w:sz w:val="24"/>
          <w:szCs w:val="24"/>
        </w:rPr>
        <w:t xml:space="preserve">Table </w:t>
      </w:r>
      <w:r w:rsidR="00497E15">
        <w:rPr>
          <w:rFonts w:ascii="Times New Roman" w:hAnsi="Times New Roman" w:cs="Times New Roman"/>
          <w:sz w:val="24"/>
          <w:szCs w:val="24"/>
        </w:rPr>
        <w:t xml:space="preserve">2 </w:t>
      </w:r>
      <w:r>
        <w:rPr>
          <w:rFonts w:ascii="Times New Roman" w:hAnsi="Times New Roman" w:cs="Times New Roman"/>
          <w:sz w:val="24"/>
          <w:szCs w:val="24"/>
        </w:rPr>
        <w:t xml:space="preserve">provides some basic </w:t>
      </w:r>
      <w:r w:rsidR="00315983">
        <w:rPr>
          <w:rFonts w:ascii="Times New Roman" w:hAnsi="Times New Roman" w:cs="Times New Roman"/>
          <w:sz w:val="24"/>
          <w:szCs w:val="24"/>
        </w:rPr>
        <w:t>summary statistics</w:t>
      </w:r>
      <w:r>
        <w:rPr>
          <w:rFonts w:ascii="Times New Roman" w:hAnsi="Times New Roman" w:cs="Times New Roman"/>
          <w:sz w:val="24"/>
          <w:szCs w:val="24"/>
        </w:rPr>
        <w:t xml:space="preserve"> on foreclosures</w:t>
      </w:r>
      <w:r w:rsidR="00315983">
        <w:rPr>
          <w:rFonts w:ascii="Times New Roman" w:hAnsi="Times New Roman" w:cs="Times New Roman"/>
          <w:sz w:val="24"/>
          <w:szCs w:val="24"/>
        </w:rPr>
        <w:t xml:space="preserve"> by zip code</w:t>
      </w:r>
      <w:r w:rsidR="00F403B0">
        <w:rPr>
          <w:rFonts w:ascii="Times New Roman" w:hAnsi="Times New Roman" w:cs="Times New Roman"/>
          <w:sz w:val="24"/>
          <w:szCs w:val="24"/>
        </w:rPr>
        <w:t>, where foreclosures are measured by the number of properties put up for public auction</w:t>
      </w:r>
      <w:r w:rsidR="00315983">
        <w:rPr>
          <w:rFonts w:ascii="Times New Roman" w:hAnsi="Times New Roman" w:cs="Times New Roman"/>
          <w:sz w:val="24"/>
          <w:szCs w:val="24"/>
        </w:rPr>
        <w:t xml:space="preserve"> (i.e.</w:t>
      </w:r>
      <w:r w:rsidR="00BF0FF4">
        <w:rPr>
          <w:rFonts w:ascii="Times New Roman" w:hAnsi="Times New Roman" w:cs="Times New Roman"/>
          <w:sz w:val="24"/>
          <w:szCs w:val="24"/>
        </w:rPr>
        <w:t>,</w:t>
      </w:r>
      <w:r w:rsidR="00315983">
        <w:rPr>
          <w:rFonts w:ascii="Times New Roman" w:hAnsi="Times New Roman" w:cs="Times New Roman"/>
          <w:sz w:val="24"/>
          <w:szCs w:val="24"/>
        </w:rPr>
        <w:t xml:space="preserve"> those </w:t>
      </w:r>
      <w:r w:rsidR="00BF0FF4">
        <w:rPr>
          <w:rFonts w:ascii="Times New Roman" w:hAnsi="Times New Roman" w:cs="Times New Roman"/>
          <w:sz w:val="24"/>
          <w:szCs w:val="24"/>
        </w:rPr>
        <w:t xml:space="preserve">properties </w:t>
      </w:r>
      <w:r w:rsidR="00315983">
        <w:rPr>
          <w:rFonts w:ascii="Times New Roman" w:hAnsi="Times New Roman" w:cs="Times New Roman"/>
          <w:sz w:val="24"/>
          <w:szCs w:val="24"/>
        </w:rPr>
        <w:t>subject to a notice of trustee sale)</w:t>
      </w:r>
      <w:r>
        <w:rPr>
          <w:rFonts w:ascii="Times New Roman" w:hAnsi="Times New Roman" w:cs="Times New Roman"/>
          <w:sz w:val="24"/>
          <w:szCs w:val="24"/>
        </w:rPr>
        <w:t xml:space="preserve">.  There are 982 zip codes in Georgia, although only 733 have positive populations according to the Census Bureau.  While RealtyTrac reports positive foreclosures in a handful of zip codes with no reported population, we ignore these zip codes.  </w:t>
      </w:r>
      <w:r w:rsidR="00F403B0">
        <w:rPr>
          <w:rFonts w:ascii="Times New Roman" w:hAnsi="Times New Roman" w:cs="Times New Roman"/>
          <w:sz w:val="24"/>
          <w:szCs w:val="24"/>
        </w:rPr>
        <w:t>Total foreclosures almost doubled between 2006</w:t>
      </w:r>
      <w:r w:rsidR="006B5E53">
        <w:rPr>
          <w:rFonts w:ascii="Times New Roman" w:hAnsi="Times New Roman" w:cs="Times New Roman"/>
          <w:sz w:val="24"/>
          <w:szCs w:val="24"/>
        </w:rPr>
        <w:t xml:space="preserve"> and 2010</w:t>
      </w:r>
      <w:r w:rsidR="00F403B0">
        <w:rPr>
          <w:rFonts w:ascii="Times New Roman" w:hAnsi="Times New Roman" w:cs="Times New Roman"/>
          <w:sz w:val="24"/>
          <w:szCs w:val="24"/>
        </w:rPr>
        <w:t xml:space="preserve">, before declining in 2011.  The mean number of foreclosures is much larger than the median, implying that the distribution is highly skewed.  </w:t>
      </w:r>
      <w:r w:rsidR="00527935">
        <w:rPr>
          <w:rFonts w:ascii="Times New Roman" w:hAnsi="Times New Roman" w:cs="Times New Roman"/>
          <w:sz w:val="24"/>
          <w:szCs w:val="24"/>
        </w:rPr>
        <w:t>The distribution of f</w:t>
      </w:r>
      <w:r w:rsidR="00F403B0">
        <w:rPr>
          <w:rFonts w:ascii="Times New Roman" w:hAnsi="Times New Roman" w:cs="Times New Roman"/>
          <w:sz w:val="24"/>
          <w:szCs w:val="24"/>
        </w:rPr>
        <w:t>oreclosures</w:t>
      </w:r>
      <w:r w:rsidR="00527935">
        <w:rPr>
          <w:rFonts w:ascii="Times New Roman" w:hAnsi="Times New Roman" w:cs="Times New Roman"/>
          <w:sz w:val="24"/>
          <w:szCs w:val="24"/>
        </w:rPr>
        <w:t xml:space="preserve"> per capita is also skewed, but not as pronounced. </w:t>
      </w:r>
    </w:p>
    <w:p w:rsidR="00644B6C" w:rsidRPr="00644B6C" w:rsidRDefault="00644B6C" w:rsidP="00D00DD3">
      <w:pPr>
        <w:spacing w:after="0" w:line="480" w:lineRule="auto"/>
        <w:ind w:firstLine="720"/>
        <w:rPr>
          <w:rFonts w:ascii="Times New Roman" w:hAnsi="Times New Roman" w:cs="Times New Roman"/>
          <w:szCs w:val="24"/>
        </w:rPr>
      </w:pPr>
      <w:r w:rsidRPr="00A066C3">
        <w:rPr>
          <w:rFonts w:ascii="Times New Roman" w:hAnsi="Times New Roman" w:cs="Times New Roman"/>
          <w:sz w:val="24"/>
          <w:szCs w:val="24"/>
        </w:rPr>
        <w:t xml:space="preserve">Table </w:t>
      </w:r>
      <w:r w:rsidR="00497E15">
        <w:rPr>
          <w:rFonts w:ascii="Times New Roman" w:hAnsi="Times New Roman" w:cs="Times New Roman"/>
          <w:sz w:val="24"/>
          <w:szCs w:val="24"/>
        </w:rPr>
        <w:t xml:space="preserve">3 </w:t>
      </w:r>
      <w:r>
        <w:rPr>
          <w:rFonts w:ascii="Times New Roman" w:hAnsi="Times New Roman" w:cs="Times New Roman"/>
          <w:sz w:val="24"/>
          <w:szCs w:val="24"/>
        </w:rPr>
        <w:t xml:space="preserve">shows the distribution of the number of Georgia zip codes by the number of years that the zip code had non-zero foreclosures.  Over 65 percent of the zip codes had foreclosures in each of the 6 years, while only 7 percent had no foreclosures in all 6 years. </w:t>
      </w:r>
    </w:p>
    <w:p w:rsidR="00527935" w:rsidRDefault="006B5E53" w:rsidP="000369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Figures 5 and 6 show the distribution each year of</w:t>
      </w:r>
      <w:r w:rsidR="00B52D5D">
        <w:rPr>
          <w:rFonts w:ascii="Times New Roman" w:hAnsi="Times New Roman" w:cs="Times New Roman"/>
          <w:sz w:val="24"/>
          <w:szCs w:val="24"/>
        </w:rPr>
        <w:t xml:space="preserve"> </w:t>
      </w:r>
      <w:r>
        <w:rPr>
          <w:rFonts w:ascii="Times New Roman" w:hAnsi="Times New Roman" w:cs="Times New Roman"/>
          <w:sz w:val="24"/>
          <w:szCs w:val="24"/>
        </w:rPr>
        <w:t>foreclosures per 100 housing units and per 1000 population</w:t>
      </w:r>
      <w:r w:rsidR="00E10A02">
        <w:rPr>
          <w:rFonts w:ascii="Times New Roman" w:hAnsi="Times New Roman" w:cs="Times New Roman"/>
          <w:sz w:val="24"/>
          <w:szCs w:val="24"/>
        </w:rPr>
        <w:t xml:space="preserve">, respectively, </w:t>
      </w:r>
      <w:r>
        <w:rPr>
          <w:rFonts w:ascii="Times New Roman" w:hAnsi="Times New Roman" w:cs="Times New Roman"/>
          <w:sz w:val="24"/>
          <w:szCs w:val="24"/>
        </w:rPr>
        <w:t xml:space="preserve">in each of Georgia’s 159 counties.  </w:t>
      </w:r>
      <w:r w:rsidR="00C755DE">
        <w:rPr>
          <w:rFonts w:ascii="Times New Roman" w:hAnsi="Times New Roman" w:cs="Times New Roman"/>
          <w:sz w:val="24"/>
          <w:szCs w:val="24"/>
        </w:rPr>
        <w:t>T</w:t>
      </w:r>
      <w:r w:rsidR="00036988">
        <w:rPr>
          <w:rFonts w:ascii="Times New Roman" w:hAnsi="Times New Roman" w:cs="Times New Roman"/>
          <w:sz w:val="24"/>
          <w:szCs w:val="24"/>
        </w:rPr>
        <w:t>he median number of foreclosures</w:t>
      </w:r>
      <w:r w:rsidR="00C755DE">
        <w:rPr>
          <w:rFonts w:ascii="Times New Roman" w:hAnsi="Times New Roman" w:cs="Times New Roman"/>
          <w:sz w:val="24"/>
          <w:szCs w:val="24"/>
        </w:rPr>
        <w:t xml:space="preserve"> by</w:t>
      </w:r>
      <w:r w:rsidR="00036988">
        <w:rPr>
          <w:rFonts w:ascii="Times New Roman" w:hAnsi="Times New Roman" w:cs="Times New Roman"/>
          <w:sz w:val="24"/>
          <w:szCs w:val="24"/>
        </w:rPr>
        <w:t xml:space="preserve"> county</w:t>
      </w:r>
      <w:r w:rsidR="00C755DE">
        <w:rPr>
          <w:rFonts w:ascii="Times New Roman" w:hAnsi="Times New Roman" w:cs="Times New Roman"/>
          <w:sz w:val="24"/>
          <w:szCs w:val="24"/>
        </w:rPr>
        <w:t xml:space="preserve"> increased from 0.17 per 100 housing units in 2006 to 1.18 per 100 units in 2010, more than a six-fold increase in the median.  Relative to population, the increase was of roughly the same magnitude, from a median of 0.74 per 1000 population to 5.26.</w:t>
      </w:r>
    </w:p>
    <w:p w:rsidR="00DE6907" w:rsidRPr="00197294" w:rsidRDefault="00DE6907" w:rsidP="007048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w:t>
      </w:r>
      <w:r w:rsidR="007609B2">
        <w:rPr>
          <w:rFonts w:ascii="Times New Roman" w:hAnsi="Times New Roman" w:cs="Times New Roman"/>
          <w:sz w:val="24"/>
          <w:szCs w:val="24"/>
        </w:rPr>
        <w:t>a high</w:t>
      </w:r>
      <w:r>
        <w:rPr>
          <w:rFonts w:ascii="Times New Roman" w:hAnsi="Times New Roman" w:cs="Times New Roman"/>
          <w:sz w:val="24"/>
          <w:szCs w:val="24"/>
        </w:rPr>
        <w:t xml:space="preserve"> positive correlation </w:t>
      </w:r>
      <w:r w:rsidR="00E63077">
        <w:rPr>
          <w:rFonts w:ascii="Times New Roman" w:hAnsi="Times New Roman" w:cs="Times New Roman"/>
          <w:sz w:val="24"/>
          <w:szCs w:val="24"/>
        </w:rPr>
        <w:t>between foreclosure activity in 2006 and 2011 across the counties</w:t>
      </w:r>
      <w:r w:rsidR="00BF0FF4">
        <w:rPr>
          <w:rFonts w:ascii="Times New Roman" w:hAnsi="Times New Roman" w:cs="Times New Roman"/>
          <w:sz w:val="24"/>
          <w:szCs w:val="24"/>
        </w:rPr>
        <w:t>.  This correlation is</w:t>
      </w:r>
      <w:r w:rsidR="00E63077">
        <w:rPr>
          <w:rFonts w:ascii="Times New Roman" w:hAnsi="Times New Roman" w:cs="Times New Roman"/>
          <w:sz w:val="24"/>
          <w:szCs w:val="24"/>
        </w:rPr>
        <w:t xml:space="preserve"> 0.</w:t>
      </w:r>
      <w:r w:rsidR="007609B2">
        <w:rPr>
          <w:rFonts w:ascii="Times New Roman" w:hAnsi="Times New Roman" w:cs="Times New Roman"/>
          <w:sz w:val="24"/>
          <w:szCs w:val="24"/>
        </w:rPr>
        <w:t>78</w:t>
      </w:r>
      <w:r w:rsidR="00E63077">
        <w:rPr>
          <w:rFonts w:ascii="Times New Roman" w:hAnsi="Times New Roman" w:cs="Times New Roman"/>
          <w:sz w:val="24"/>
          <w:szCs w:val="24"/>
        </w:rPr>
        <w:t xml:space="preserve"> when </w:t>
      </w:r>
      <w:r w:rsidR="009E2C66">
        <w:rPr>
          <w:rFonts w:ascii="Times New Roman" w:hAnsi="Times New Roman" w:cs="Times New Roman"/>
          <w:sz w:val="24"/>
          <w:szCs w:val="24"/>
        </w:rPr>
        <w:t xml:space="preserve">foreclosures are </w:t>
      </w:r>
      <w:r w:rsidR="00E63077">
        <w:rPr>
          <w:rFonts w:ascii="Times New Roman" w:hAnsi="Times New Roman" w:cs="Times New Roman"/>
          <w:sz w:val="24"/>
          <w:szCs w:val="24"/>
        </w:rPr>
        <w:t>measured relative to housing units and 0.7</w:t>
      </w:r>
      <w:r w:rsidR="00641E7A">
        <w:rPr>
          <w:rFonts w:ascii="Times New Roman" w:hAnsi="Times New Roman" w:cs="Times New Roman"/>
          <w:sz w:val="24"/>
          <w:szCs w:val="24"/>
        </w:rPr>
        <w:t>4</w:t>
      </w:r>
      <w:r w:rsidR="00E63077">
        <w:rPr>
          <w:rFonts w:ascii="Times New Roman" w:hAnsi="Times New Roman" w:cs="Times New Roman"/>
          <w:sz w:val="24"/>
          <w:szCs w:val="24"/>
        </w:rPr>
        <w:t xml:space="preserve"> when</w:t>
      </w:r>
      <w:r w:rsidR="009E2C66">
        <w:rPr>
          <w:rFonts w:ascii="Times New Roman" w:hAnsi="Times New Roman" w:cs="Times New Roman"/>
          <w:sz w:val="24"/>
          <w:szCs w:val="24"/>
        </w:rPr>
        <w:t xml:space="preserve"> they are</w:t>
      </w:r>
      <w:r w:rsidR="00E63077">
        <w:rPr>
          <w:rFonts w:ascii="Times New Roman" w:hAnsi="Times New Roman" w:cs="Times New Roman"/>
          <w:sz w:val="24"/>
          <w:szCs w:val="24"/>
        </w:rPr>
        <w:t xml:space="preserve"> measured on a per capita basis</w:t>
      </w:r>
      <w:r w:rsidR="00ED19AC">
        <w:rPr>
          <w:rFonts w:ascii="Times New Roman" w:hAnsi="Times New Roman" w:cs="Times New Roman"/>
          <w:sz w:val="24"/>
          <w:szCs w:val="24"/>
        </w:rPr>
        <w:t xml:space="preserve">, indicating that counties with above (below) average </w:t>
      </w:r>
      <w:r w:rsidR="00ED19AC">
        <w:rPr>
          <w:rFonts w:ascii="Times New Roman" w:hAnsi="Times New Roman" w:cs="Times New Roman"/>
          <w:sz w:val="24"/>
          <w:szCs w:val="24"/>
        </w:rPr>
        <w:lastRenderedPageBreak/>
        <w:t>foreclosure activity before the housing crisis remained above (below) average at its peak</w:t>
      </w:r>
      <w:r w:rsidR="00E63077">
        <w:rPr>
          <w:rFonts w:ascii="Times New Roman" w:hAnsi="Times New Roman" w:cs="Times New Roman"/>
          <w:sz w:val="24"/>
          <w:szCs w:val="24"/>
        </w:rPr>
        <w:t xml:space="preserve">.  </w:t>
      </w:r>
      <w:r w:rsidR="00B52D5D">
        <w:rPr>
          <w:rFonts w:ascii="Times New Roman" w:hAnsi="Times New Roman" w:cs="Times New Roman"/>
          <w:sz w:val="24"/>
          <w:szCs w:val="24"/>
        </w:rPr>
        <w:t>Figure 7</w:t>
      </w:r>
      <w:r w:rsidR="00644B6C">
        <w:rPr>
          <w:rFonts w:ascii="Times New Roman" w:hAnsi="Times New Roman" w:cs="Times New Roman"/>
          <w:sz w:val="24"/>
          <w:szCs w:val="24"/>
        </w:rPr>
        <w:t xml:space="preserve"> presents a scatter diagram of foreclosures per 100 housing units by county in 2006 and 2010, and shows that</w:t>
      </w:r>
      <w:r w:rsidR="00E10A02">
        <w:rPr>
          <w:rFonts w:ascii="Times New Roman" w:hAnsi="Times New Roman" w:cs="Times New Roman"/>
          <w:sz w:val="24"/>
          <w:szCs w:val="24"/>
        </w:rPr>
        <w:t xml:space="preserve"> the increase in foreclosures from 2006 to 2010 was common to all counties</w:t>
      </w:r>
      <w:r w:rsidR="00641E7A">
        <w:rPr>
          <w:rFonts w:ascii="Times New Roman" w:hAnsi="Times New Roman" w:cs="Times New Roman"/>
          <w:sz w:val="24"/>
          <w:szCs w:val="24"/>
        </w:rPr>
        <w:t xml:space="preserve"> as all points are above the 45 degree line, albeit only slightly in a few cases</w:t>
      </w:r>
      <w:r w:rsidR="00E10A02">
        <w:rPr>
          <w:rFonts w:ascii="Times New Roman" w:hAnsi="Times New Roman" w:cs="Times New Roman"/>
          <w:sz w:val="24"/>
          <w:szCs w:val="24"/>
        </w:rPr>
        <w:t>.</w:t>
      </w:r>
    </w:p>
    <w:p w:rsidR="00100860" w:rsidRDefault="00100860" w:rsidP="00B94B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Map 1 shows the distribution of </w:t>
      </w:r>
      <w:r w:rsidR="00095AD6">
        <w:rPr>
          <w:rFonts w:ascii="Times New Roman" w:hAnsi="Times New Roman" w:cs="Times New Roman"/>
          <w:sz w:val="24"/>
          <w:szCs w:val="24"/>
        </w:rPr>
        <w:t xml:space="preserve">total </w:t>
      </w:r>
      <w:r>
        <w:rPr>
          <w:rFonts w:ascii="Times New Roman" w:hAnsi="Times New Roman" w:cs="Times New Roman"/>
          <w:sz w:val="24"/>
          <w:szCs w:val="24"/>
        </w:rPr>
        <w:t xml:space="preserve">foreclosures </w:t>
      </w:r>
      <w:r w:rsidR="00095AD6">
        <w:rPr>
          <w:rFonts w:ascii="Times New Roman" w:hAnsi="Times New Roman" w:cs="Times New Roman"/>
          <w:sz w:val="24"/>
          <w:szCs w:val="24"/>
        </w:rPr>
        <w:t xml:space="preserve">by zip code </w:t>
      </w:r>
      <w:r>
        <w:rPr>
          <w:rFonts w:ascii="Times New Roman" w:hAnsi="Times New Roman" w:cs="Times New Roman"/>
          <w:sz w:val="24"/>
          <w:szCs w:val="24"/>
        </w:rPr>
        <w:t xml:space="preserve">across the state for </w:t>
      </w:r>
      <w:r w:rsidR="00095AD6">
        <w:rPr>
          <w:rFonts w:ascii="Times New Roman" w:hAnsi="Times New Roman" w:cs="Times New Roman"/>
          <w:sz w:val="24"/>
          <w:szCs w:val="24"/>
        </w:rPr>
        <w:t xml:space="preserve">the period 2006 to </w:t>
      </w:r>
      <w:r>
        <w:rPr>
          <w:rFonts w:ascii="Times New Roman" w:hAnsi="Times New Roman" w:cs="Times New Roman"/>
          <w:sz w:val="24"/>
          <w:szCs w:val="24"/>
        </w:rPr>
        <w:t>201</w:t>
      </w:r>
      <w:r w:rsidR="00095AD6">
        <w:rPr>
          <w:rFonts w:ascii="Times New Roman" w:hAnsi="Times New Roman" w:cs="Times New Roman"/>
          <w:sz w:val="24"/>
          <w:szCs w:val="24"/>
        </w:rPr>
        <w:t>1</w:t>
      </w:r>
      <w:r w:rsidR="009E2C66">
        <w:rPr>
          <w:rFonts w:ascii="Times New Roman" w:hAnsi="Times New Roman" w:cs="Times New Roman"/>
          <w:sz w:val="24"/>
          <w:szCs w:val="24"/>
        </w:rPr>
        <w:t>.</w:t>
      </w:r>
      <w:r w:rsidR="00131B26">
        <w:rPr>
          <w:rFonts w:ascii="Times New Roman" w:hAnsi="Times New Roman" w:cs="Times New Roman"/>
          <w:sz w:val="24"/>
          <w:szCs w:val="24"/>
        </w:rPr>
        <w:t xml:space="preserve"> </w:t>
      </w:r>
      <w:r w:rsidR="005E6183">
        <w:rPr>
          <w:rFonts w:ascii="Times New Roman" w:hAnsi="Times New Roman" w:cs="Times New Roman"/>
          <w:sz w:val="24"/>
          <w:szCs w:val="24"/>
        </w:rPr>
        <w:t xml:space="preserve"> </w:t>
      </w:r>
      <w:r w:rsidR="00095AD6">
        <w:rPr>
          <w:rFonts w:ascii="Times New Roman" w:hAnsi="Times New Roman" w:cs="Times New Roman"/>
          <w:sz w:val="24"/>
          <w:szCs w:val="24"/>
        </w:rPr>
        <w:t>(S</w:t>
      </w:r>
      <w:r>
        <w:rPr>
          <w:rFonts w:ascii="Times New Roman" w:hAnsi="Times New Roman" w:cs="Times New Roman"/>
          <w:sz w:val="24"/>
          <w:szCs w:val="24"/>
        </w:rPr>
        <w:t xml:space="preserve">ince there is a high correlation across years in the number of foreclosures, </w:t>
      </w:r>
      <w:r w:rsidR="00131B26">
        <w:rPr>
          <w:rFonts w:ascii="Times New Roman" w:hAnsi="Times New Roman" w:cs="Times New Roman"/>
          <w:sz w:val="24"/>
          <w:szCs w:val="24"/>
        </w:rPr>
        <w:t xml:space="preserve">the </w:t>
      </w:r>
      <w:r>
        <w:rPr>
          <w:rFonts w:ascii="Times New Roman" w:hAnsi="Times New Roman" w:cs="Times New Roman"/>
          <w:sz w:val="24"/>
          <w:szCs w:val="24"/>
        </w:rPr>
        <w:t xml:space="preserve">maps </w:t>
      </w:r>
      <w:r w:rsidR="00095AD6">
        <w:rPr>
          <w:rFonts w:ascii="Times New Roman" w:hAnsi="Times New Roman" w:cs="Times New Roman"/>
          <w:sz w:val="24"/>
          <w:szCs w:val="24"/>
        </w:rPr>
        <w:t>for each</w:t>
      </w:r>
      <w:r>
        <w:rPr>
          <w:rFonts w:ascii="Times New Roman" w:hAnsi="Times New Roman" w:cs="Times New Roman"/>
          <w:sz w:val="24"/>
          <w:szCs w:val="24"/>
        </w:rPr>
        <w:t xml:space="preserve"> </w:t>
      </w:r>
      <w:r w:rsidR="00095AD6">
        <w:rPr>
          <w:rFonts w:ascii="Times New Roman" w:hAnsi="Times New Roman" w:cs="Times New Roman"/>
          <w:sz w:val="24"/>
          <w:szCs w:val="24"/>
        </w:rPr>
        <w:t xml:space="preserve">individual </w:t>
      </w:r>
      <w:r>
        <w:rPr>
          <w:rFonts w:ascii="Times New Roman" w:hAnsi="Times New Roman" w:cs="Times New Roman"/>
          <w:sz w:val="24"/>
          <w:szCs w:val="24"/>
        </w:rPr>
        <w:t xml:space="preserve">year </w:t>
      </w:r>
      <w:r w:rsidR="00131B26">
        <w:rPr>
          <w:rFonts w:ascii="Times New Roman" w:hAnsi="Times New Roman" w:cs="Times New Roman"/>
          <w:sz w:val="24"/>
          <w:szCs w:val="24"/>
        </w:rPr>
        <w:t xml:space="preserve">are quite </w:t>
      </w:r>
      <w:r>
        <w:rPr>
          <w:rFonts w:ascii="Times New Roman" w:hAnsi="Times New Roman" w:cs="Times New Roman"/>
          <w:sz w:val="24"/>
          <w:szCs w:val="24"/>
        </w:rPr>
        <w:t>similar.</w:t>
      </w:r>
      <w:r w:rsidR="00095AD6">
        <w:rPr>
          <w:rFonts w:ascii="Times New Roman" w:hAnsi="Times New Roman" w:cs="Times New Roman"/>
          <w:sz w:val="24"/>
          <w:szCs w:val="24"/>
        </w:rPr>
        <w:t>)</w:t>
      </w:r>
      <w:r>
        <w:rPr>
          <w:rFonts w:ascii="Times New Roman" w:hAnsi="Times New Roman" w:cs="Times New Roman"/>
          <w:sz w:val="24"/>
          <w:szCs w:val="24"/>
        </w:rPr>
        <w:t xml:space="preserve">  </w:t>
      </w:r>
      <w:r w:rsidR="00131B26">
        <w:rPr>
          <w:rFonts w:ascii="Times New Roman" w:hAnsi="Times New Roman" w:cs="Times New Roman"/>
          <w:sz w:val="24"/>
          <w:szCs w:val="24"/>
        </w:rPr>
        <w:t>Because</w:t>
      </w:r>
      <w:r>
        <w:rPr>
          <w:rFonts w:ascii="Times New Roman" w:hAnsi="Times New Roman" w:cs="Times New Roman"/>
          <w:sz w:val="24"/>
          <w:szCs w:val="24"/>
        </w:rPr>
        <w:t xml:space="preserve"> zip codes differ in size</w:t>
      </w:r>
      <w:r w:rsidR="000E7B82">
        <w:rPr>
          <w:rFonts w:ascii="Times New Roman" w:hAnsi="Times New Roman" w:cs="Times New Roman"/>
          <w:sz w:val="24"/>
          <w:szCs w:val="24"/>
        </w:rPr>
        <w:t xml:space="preserve"> and housing density</w:t>
      </w:r>
      <w:r>
        <w:rPr>
          <w:rFonts w:ascii="Times New Roman" w:hAnsi="Times New Roman" w:cs="Times New Roman"/>
          <w:sz w:val="24"/>
          <w:szCs w:val="24"/>
        </w:rPr>
        <w:t>, we also map the number of foreclosures per owner occupied housing unit using housing units for 20</w:t>
      </w:r>
      <w:r w:rsidR="00E55230">
        <w:rPr>
          <w:rFonts w:ascii="Times New Roman" w:hAnsi="Times New Roman" w:cs="Times New Roman"/>
          <w:sz w:val="24"/>
          <w:szCs w:val="24"/>
        </w:rPr>
        <w:t>1</w:t>
      </w:r>
      <w:r>
        <w:rPr>
          <w:rFonts w:ascii="Times New Roman" w:hAnsi="Times New Roman" w:cs="Times New Roman"/>
          <w:sz w:val="24"/>
          <w:szCs w:val="24"/>
        </w:rPr>
        <w:t>0</w:t>
      </w:r>
      <w:r w:rsidR="00BF0FF4">
        <w:rPr>
          <w:rFonts w:ascii="Times New Roman" w:hAnsi="Times New Roman" w:cs="Times New Roman"/>
          <w:sz w:val="24"/>
          <w:szCs w:val="24"/>
        </w:rPr>
        <w:t xml:space="preserve"> in </w:t>
      </w:r>
      <w:r>
        <w:rPr>
          <w:rFonts w:ascii="Times New Roman" w:hAnsi="Times New Roman" w:cs="Times New Roman"/>
          <w:sz w:val="24"/>
          <w:szCs w:val="24"/>
        </w:rPr>
        <w:t xml:space="preserve">Map 2. </w:t>
      </w:r>
      <w:r w:rsidR="00131B26">
        <w:rPr>
          <w:rFonts w:ascii="Times New Roman" w:hAnsi="Times New Roman" w:cs="Times New Roman"/>
          <w:sz w:val="24"/>
          <w:szCs w:val="24"/>
        </w:rPr>
        <w:t xml:space="preserve"> </w:t>
      </w:r>
      <w:r w:rsidR="00E55230">
        <w:rPr>
          <w:rFonts w:ascii="Times New Roman" w:hAnsi="Times New Roman" w:cs="Times New Roman"/>
          <w:sz w:val="24"/>
          <w:szCs w:val="24"/>
        </w:rPr>
        <w:t>Using housing units for 201</w:t>
      </w:r>
      <w:r>
        <w:rPr>
          <w:rFonts w:ascii="Times New Roman" w:hAnsi="Times New Roman" w:cs="Times New Roman"/>
          <w:sz w:val="24"/>
          <w:szCs w:val="24"/>
        </w:rPr>
        <w:t xml:space="preserve">0 </w:t>
      </w:r>
      <w:r w:rsidR="00E55230">
        <w:rPr>
          <w:rFonts w:ascii="Times New Roman" w:hAnsi="Times New Roman" w:cs="Times New Roman"/>
          <w:sz w:val="24"/>
          <w:szCs w:val="24"/>
        </w:rPr>
        <w:t xml:space="preserve">will </w:t>
      </w:r>
      <w:r w:rsidR="000E7B82">
        <w:rPr>
          <w:rFonts w:ascii="Times New Roman" w:hAnsi="Times New Roman" w:cs="Times New Roman"/>
          <w:sz w:val="24"/>
          <w:szCs w:val="24"/>
        </w:rPr>
        <w:t xml:space="preserve">tend to </w:t>
      </w:r>
      <w:r w:rsidR="00E55230">
        <w:rPr>
          <w:rFonts w:ascii="Times New Roman" w:hAnsi="Times New Roman" w:cs="Times New Roman"/>
          <w:sz w:val="24"/>
          <w:szCs w:val="24"/>
        </w:rPr>
        <w:t xml:space="preserve">understate </w:t>
      </w:r>
      <w:r>
        <w:rPr>
          <w:rFonts w:ascii="Times New Roman" w:hAnsi="Times New Roman" w:cs="Times New Roman"/>
          <w:sz w:val="24"/>
          <w:szCs w:val="24"/>
        </w:rPr>
        <w:t xml:space="preserve">the number of owner occupied housing units </w:t>
      </w:r>
      <w:r w:rsidR="00E55230">
        <w:rPr>
          <w:rFonts w:ascii="Times New Roman" w:hAnsi="Times New Roman" w:cs="Times New Roman"/>
          <w:sz w:val="24"/>
          <w:szCs w:val="24"/>
        </w:rPr>
        <w:t xml:space="preserve">that could be subject to foreclosure since </w:t>
      </w:r>
      <w:r>
        <w:rPr>
          <w:rFonts w:ascii="Times New Roman" w:hAnsi="Times New Roman" w:cs="Times New Roman"/>
          <w:sz w:val="24"/>
          <w:szCs w:val="24"/>
        </w:rPr>
        <w:t>fore</w:t>
      </w:r>
      <w:r w:rsidR="00E55230">
        <w:rPr>
          <w:rFonts w:ascii="Times New Roman" w:hAnsi="Times New Roman" w:cs="Times New Roman"/>
          <w:sz w:val="24"/>
          <w:szCs w:val="24"/>
        </w:rPr>
        <w:t xml:space="preserve">closures </w:t>
      </w:r>
      <w:r w:rsidR="000E7B82">
        <w:rPr>
          <w:rFonts w:ascii="Times New Roman" w:hAnsi="Times New Roman" w:cs="Times New Roman"/>
          <w:sz w:val="24"/>
          <w:szCs w:val="24"/>
        </w:rPr>
        <w:t xml:space="preserve">prior to 2010 </w:t>
      </w:r>
      <w:r w:rsidR="00E55230">
        <w:rPr>
          <w:rFonts w:ascii="Times New Roman" w:hAnsi="Times New Roman" w:cs="Times New Roman"/>
          <w:sz w:val="24"/>
          <w:szCs w:val="24"/>
        </w:rPr>
        <w:t>will</w:t>
      </w:r>
      <w:r w:rsidR="00B52D5D">
        <w:rPr>
          <w:rFonts w:ascii="Times New Roman" w:hAnsi="Times New Roman" w:cs="Times New Roman"/>
          <w:sz w:val="24"/>
          <w:szCs w:val="24"/>
        </w:rPr>
        <w:t xml:space="preserve"> likely</w:t>
      </w:r>
      <w:r w:rsidR="00E55230">
        <w:rPr>
          <w:rFonts w:ascii="Times New Roman" w:hAnsi="Times New Roman" w:cs="Times New Roman"/>
          <w:sz w:val="24"/>
          <w:szCs w:val="24"/>
        </w:rPr>
        <w:t xml:space="preserve"> have reduced the number of owner occupied housing units.  </w:t>
      </w:r>
      <w:r w:rsidR="000E7B82">
        <w:rPr>
          <w:rFonts w:ascii="Times New Roman" w:hAnsi="Times New Roman" w:cs="Times New Roman"/>
          <w:sz w:val="24"/>
          <w:szCs w:val="24"/>
        </w:rPr>
        <w:t xml:space="preserve">Unfortunately, </w:t>
      </w:r>
      <w:r w:rsidR="009E2C66">
        <w:rPr>
          <w:rFonts w:ascii="Times New Roman" w:hAnsi="Times New Roman" w:cs="Times New Roman"/>
          <w:sz w:val="24"/>
          <w:szCs w:val="24"/>
        </w:rPr>
        <w:t xml:space="preserve">data on owner occupied housing units are </w:t>
      </w:r>
      <w:r w:rsidR="000E7B82">
        <w:rPr>
          <w:rFonts w:ascii="Times New Roman" w:hAnsi="Times New Roman" w:cs="Times New Roman"/>
          <w:sz w:val="24"/>
          <w:szCs w:val="24"/>
        </w:rPr>
        <w:t>not available for intercensal years.  Note that z</w:t>
      </w:r>
      <w:r w:rsidR="00E55230">
        <w:rPr>
          <w:rFonts w:ascii="Times New Roman" w:hAnsi="Times New Roman" w:cs="Times New Roman"/>
          <w:sz w:val="24"/>
          <w:szCs w:val="24"/>
        </w:rPr>
        <w:t xml:space="preserve">ip codes </w:t>
      </w:r>
      <w:r w:rsidR="00BF0FF4">
        <w:rPr>
          <w:rFonts w:ascii="Times New Roman" w:hAnsi="Times New Roman" w:cs="Times New Roman"/>
          <w:sz w:val="24"/>
          <w:szCs w:val="24"/>
        </w:rPr>
        <w:t>marked</w:t>
      </w:r>
      <w:r w:rsidR="00E55230">
        <w:rPr>
          <w:rFonts w:ascii="Times New Roman" w:hAnsi="Times New Roman" w:cs="Times New Roman"/>
          <w:sz w:val="24"/>
          <w:szCs w:val="24"/>
        </w:rPr>
        <w:t xml:space="preserve"> in white either have no foreclosures or </w:t>
      </w:r>
      <w:r w:rsidR="00BF0FF4">
        <w:rPr>
          <w:rFonts w:ascii="Times New Roman" w:hAnsi="Times New Roman" w:cs="Times New Roman"/>
          <w:sz w:val="24"/>
          <w:szCs w:val="24"/>
        </w:rPr>
        <w:t xml:space="preserve">are missing </w:t>
      </w:r>
      <w:r w:rsidR="00E55230">
        <w:rPr>
          <w:rFonts w:ascii="Times New Roman" w:hAnsi="Times New Roman" w:cs="Times New Roman"/>
          <w:sz w:val="24"/>
          <w:szCs w:val="24"/>
        </w:rPr>
        <w:t>the foreclosure data</w:t>
      </w:r>
      <w:r w:rsidR="000433F8">
        <w:rPr>
          <w:rFonts w:ascii="Times New Roman" w:hAnsi="Times New Roman" w:cs="Times New Roman"/>
          <w:sz w:val="24"/>
          <w:szCs w:val="24"/>
        </w:rPr>
        <w:t>.</w:t>
      </w:r>
      <w:r w:rsidR="00B52D5D">
        <w:rPr>
          <w:rStyle w:val="FootnoteReference"/>
          <w:rFonts w:ascii="Times New Roman" w:hAnsi="Times New Roman" w:cs="Times New Roman"/>
          <w:sz w:val="24"/>
          <w:szCs w:val="24"/>
        </w:rPr>
        <w:footnoteReference w:id="14"/>
      </w:r>
      <w:r w:rsidR="000433F8">
        <w:rPr>
          <w:rFonts w:ascii="Times New Roman" w:hAnsi="Times New Roman" w:cs="Times New Roman"/>
          <w:sz w:val="24"/>
          <w:szCs w:val="24"/>
        </w:rPr>
        <w:t xml:space="preserve">  </w:t>
      </w:r>
    </w:p>
    <w:p w:rsidR="00E55230" w:rsidRDefault="00E55230" w:rsidP="00B94B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one would expect, urban </w:t>
      </w:r>
      <w:r w:rsidR="000E7B82">
        <w:rPr>
          <w:rFonts w:ascii="Times New Roman" w:hAnsi="Times New Roman" w:cs="Times New Roman"/>
          <w:sz w:val="24"/>
          <w:szCs w:val="24"/>
        </w:rPr>
        <w:t xml:space="preserve">and suburban </w:t>
      </w:r>
      <w:r>
        <w:rPr>
          <w:rFonts w:ascii="Times New Roman" w:hAnsi="Times New Roman" w:cs="Times New Roman"/>
          <w:sz w:val="24"/>
          <w:szCs w:val="24"/>
        </w:rPr>
        <w:t>counties</w:t>
      </w:r>
      <w:r w:rsidR="00131B26">
        <w:rPr>
          <w:rFonts w:ascii="Times New Roman" w:hAnsi="Times New Roman" w:cs="Times New Roman"/>
          <w:sz w:val="24"/>
          <w:szCs w:val="24"/>
        </w:rPr>
        <w:t xml:space="preserve"> (</w:t>
      </w:r>
      <w:r>
        <w:rPr>
          <w:rFonts w:ascii="Times New Roman" w:hAnsi="Times New Roman" w:cs="Times New Roman"/>
          <w:sz w:val="24"/>
          <w:szCs w:val="24"/>
        </w:rPr>
        <w:t xml:space="preserve">particularly in the Atlanta </w:t>
      </w:r>
      <w:r w:rsidR="000E7B82">
        <w:rPr>
          <w:rFonts w:ascii="Times New Roman" w:hAnsi="Times New Roman" w:cs="Times New Roman"/>
          <w:sz w:val="24"/>
          <w:szCs w:val="24"/>
        </w:rPr>
        <w:t xml:space="preserve">metropolitan </w:t>
      </w:r>
      <w:r>
        <w:rPr>
          <w:rFonts w:ascii="Times New Roman" w:hAnsi="Times New Roman" w:cs="Times New Roman"/>
          <w:sz w:val="24"/>
          <w:szCs w:val="24"/>
        </w:rPr>
        <w:t>area</w:t>
      </w:r>
      <w:r w:rsidR="00131B26">
        <w:rPr>
          <w:rFonts w:ascii="Times New Roman" w:hAnsi="Times New Roman" w:cs="Times New Roman"/>
          <w:sz w:val="24"/>
          <w:szCs w:val="24"/>
        </w:rPr>
        <w:t>)</w:t>
      </w:r>
      <w:r>
        <w:rPr>
          <w:rFonts w:ascii="Times New Roman" w:hAnsi="Times New Roman" w:cs="Times New Roman"/>
          <w:sz w:val="24"/>
          <w:szCs w:val="24"/>
        </w:rPr>
        <w:t xml:space="preserve"> have the most foreclosures</w:t>
      </w:r>
      <w:r w:rsidR="000E7B82">
        <w:rPr>
          <w:rFonts w:ascii="Times New Roman" w:hAnsi="Times New Roman" w:cs="Times New Roman"/>
          <w:sz w:val="24"/>
          <w:szCs w:val="24"/>
        </w:rPr>
        <w:t xml:space="preserve"> on an absolute basis</w:t>
      </w:r>
      <w:r>
        <w:rPr>
          <w:rFonts w:ascii="Times New Roman" w:hAnsi="Times New Roman" w:cs="Times New Roman"/>
          <w:sz w:val="24"/>
          <w:szCs w:val="24"/>
        </w:rPr>
        <w:t>.  However, there are large numbers of foreclosures in many of the less urban zip codes</w:t>
      </w:r>
      <w:r w:rsidR="000E7B82">
        <w:rPr>
          <w:rFonts w:ascii="Times New Roman" w:hAnsi="Times New Roman" w:cs="Times New Roman"/>
          <w:sz w:val="24"/>
          <w:szCs w:val="24"/>
        </w:rPr>
        <w:t xml:space="preserve"> as well</w:t>
      </w:r>
      <w:r>
        <w:rPr>
          <w:rFonts w:ascii="Times New Roman" w:hAnsi="Times New Roman" w:cs="Times New Roman"/>
          <w:sz w:val="24"/>
          <w:szCs w:val="24"/>
        </w:rPr>
        <w:t xml:space="preserve">.  </w:t>
      </w:r>
      <w:r w:rsidR="000433F8">
        <w:rPr>
          <w:rFonts w:ascii="Times New Roman" w:hAnsi="Times New Roman" w:cs="Times New Roman"/>
          <w:sz w:val="24"/>
          <w:szCs w:val="24"/>
        </w:rPr>
        <w:t>W</w:t>
      </w:r>
      <w:r w:rsidR="00131B26">
        <w:rPr>
          <w:rFonts w:ascii="Times New Roman" w:hAnsi="Times New Roman" w:cs="Times New Roman"/>
          <w:sz w:val="24"/>
          <w:szCs w:val="24"/>
        </w:rPr>
        <w:t>hile there is some difference in</w:t>
      </w:r>
      <w:r w:rsidR="000433F8">
        <w:rPr>
          <w:rFonts w:ascii="Times New Roman" w:hAnsi="Times New Roman" w:cs="Times New Roman"/>
          <w:sz w:val="24"/>
          <w:szCs w:val="24"/>
        </w:rPr>
        <w:t xml:space="preserve"> the geographic distribution of total foreclosures and foreclosures per owner occupied housing unit, </w:t>
      </w:r>
      <w:r w:rsidR="000E7B82">
        <w:rPr>
          <w:rFonts w:ascii="Times New Roman" w:hAnsi="Times New Roman" w:cs="Times New Roman"/>
          <w:sz w:val="24"/>
          <w:szCs w:val="24"/>
        </w:rPr>
        <w:t>the pattern of greater foreclosure activity in</w:t>
      </w:r>
      <w:r w:rsidR="000433F8">
        <w:rPr>
          <w:rFonts w:ascii="Times New Roman" w:hAnsi="Times New Roman" w:cs="Times New Roman"/>
          <w:sz w:val="24"/>
          <w:szCs w:val="24"/>
        </w:rPr>
        <w:t xml:space="preserve"> the urban </w:t>
      </w:r>
      <w:r w:rsidR="000E7B82">
        <w:rPr>
          <w:rFonts w:ascii="Times New Roman" w:hAnsi="Times New Roman" w:cs="Times New Roman"/>
          <w:sz w:val="24"/>
          <w:szCs w:val="24"/>
        </w:rPr>
        <w:t xml:space="preserve">and suburban </w:t>
      </w:r>
      <w:r w:rsidR="000433F8">
        <w:rPr>
          <w:rFonts w:ascii="Times New Roman" w:hAnsi="Times New Roman" w:cs="Times New Roman"/>
          <w:sz w:val="24"/>
          <w:szCs w:val="24"/>
        </w:rPr>
        <w:t xml:space="preserve">areas </w:t>
      </w:r>
      <w:r w:rsidR="000E7B82">
        <w:rPr>
          <w:rFonts w:ascii="Times New Roman" w:hAnsi="Times New Roman" w:cs="Times New Roman"/>
          <w:sz w:val="24"/>
          <w:szCs w:val="24"/>
        </w:rPr>
        <w:t>is similar under either measure</w:t>
      </w:r>
      <w:r w:rsidR="000433F8">
        <w:rPr>
          <w:rFonts w:ascii="Times New Roman" w:hAnsi="Times New Roman" w:cs="Times New Roman"/>
          <w:sz w:val="24"/>
          <w:szCs w:val="24"/>
        </w:rPr>
        <w:t xml:space="preserve">. </w:t>
      </w:r>
    </w:p>
    <w:p w:rsidR="00CA64A2" w:rsidRDefault="00CA64A2" w:rsidP="007A7F09">
      <w:pPr>
        <w:spacing w:after="0" w:line="480" w:lineRule="auto"/>
        <w:rPr>
          <w:rFonts w:ascii="Times New Roman" w:hAnsi="Times New Roman" w:cs="Times New Roman"/>
          <w:sz w:val="24"/>
          <w:szCs w:val="24"/>
        </w:rPr>
      </w:pPr>
    </w:p>
    <w:p w:rsidR="00197294" w:rsidRPr="00516887" w:rsidRDefault="00197294" w:rsidP="00474AAB">
      <w:pPr>
        <w:keepNext/>
        <w:autoSpaceDE w:val="0"/>
        <w:autoSpaceDN w:val="0"/>
        <w:adjustRightInd w:val="0"/>
        <w:spacing w:after="0" w:line="480" w:lineRule="auto"/>
        <w:rPr>
          <w:rFonts w:ascii="Times New Roman" w:hAnsi="Times New Roman" w:cs="Times New Roman"/>
          <w:sz w:val="24"/>
          <w:szCs w:val="24"/>
        </w:rPr>
      </w:pPr>
      <w:r w:rsidRPr="003F57C3">
        <w:rPr>
          <w:rFonts w:ascii="Times New Roman Bold" w:hAnsi="Times New Roman Bold" w:cs="Times New Roman"/>
          <w:b/>
          <w:smallCaps/>
          <w:sz w:val="24"/>
          <w:szCs w:val="24"/>
          <w:u w:val="single"/>
        </w:rPr>
        <w:t xml:space="preserve">V. </w:t>
      </w:r>
      <w:r w:rsidR="00BF0FF4">
        <w:rPr>
          <w:rFonts w:ascii="Times New Roman Bold" w:hAnsi="Times New Roman Bold" w:cs="Times New Roman"/>
          <w:b/>
          <w:smallCaps/>
          <w:sz w:val="24"/>
          <w:szCs w:val="24"/>
          <w:u w:val="single"/>
        </w:rPr>
        <w:t>Regression Analysis</w:t>
      </w:r>
    </w:p>
    <w:p w:rsidR="009F156E" w:rsidRDefault="00095AD6" w:rsidP="00D00DD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noted above, property tax revenue will be affected by changes in market value, the translation of changes in market value to taxable value, and changes in the property tax rate.  </w:t>
      </w:r>
      <w:r w:rsidR="00902681">
        <w:rPr>
          <w:rFonts w:ascii="Times New Roman" w:hAnsi="Times New Roman" w:cs="Times New Roman"/>
          <w:sz w:val="24"/>
          <w:szCs w:val="24"/>
        </w:rPr>
        <w:t xml:space="preserve">To understand </w:t>
      </w:r>
      <w:r w:rsidR="009F156E">
        <w:rPr>
          <w:rFonts w:ascii="Times New Roman" w:hAnsi="Times New Roman" w:cs="Times New Roman"/>
          <w:sz w:val="24"/>
          <w:szCs w:val="24"/>
        </w:rPr>
        <w:t xml:space="preserve">the </w:t>
      </w:r>
      <w:r w:rsidR="00902681">
        <w:rPr>
          <w:rFonts w:ascii="Times New Roman" w:hAnsi="Times New Roman" w:cs="Times New Roman"/>
          <w:sz w:val="24"/>
          <w:szCs w:val="24"/>
        </w:rPr>
        <w:t xml:space="preserve">effect </w:t>
      </w:r>
      <w:r w:rsidR="009F156E">
        <w:rPr>
          <w:rFonts w:ascii="Times New Roman" w:hAnsi="Times New Roman" w:cs="Times New Roman"/>
          <w:sz w:val="24"/>
          <w:szCs w:val="24"/>
        </w:rPr>
        <w:t xml:space="preserve">of </w:t>
      </w:r>
      <w:r w:rsidR="00902681">
        <w:rPr>
          <w:rFonts w:ascii="Times New Roman" w:hAnsi="Times New Roman" w:cs="Times New Roman"/>
          <w:sz w:val="24"/>
          <w:szCs w:val="24"/>
        </w:rPr>
        <w:t xml:space="preserve">the recent rise in foreclosure activity on local government revenues from the </w:t>
      </w:r>
      <w:r w:rsidR="00902681">
        <w:rPr>
          <w:rFonts w:ascii="Times New Roman" w:hAnsi="Times New Roman" w:cs="Times New Roman"/>
          <w:sz w:val="24"/>
          <w:szCs w:val="24"/>
        </w:rPr>
        <w:lastRenderedPageBreak/>
        <w:t xml:space="preserve">property tax, we estimate regressions </w:t>
      </w:r>
      <w:r w:rsidR="00AE1A1A">
        <w:rPr>
          <w:rFonts w:ascii="Times New Roman" w:hAnsi="Times New Roman" w:cs="Times New Roman"/>
          <w:sz w:val="24"/>
          <w:szCs w:val="24"/>
        </w:rPr>
        <w:t xml:space="preserve">with different dependent variables </w:t>
      </w:r>
      <w:r w:rsidR="00902681">
        <w:rPr>
          <w:rFonts w:ascii="Times New Roman" w:hAnsi="Times New Roman" w:cs="Times New Roman"/>
          <w:sz w:val="24"/>
          <w:szCs w:val="24"/>
        </w:rPr>
        <w:t>related to possible channels throug</w:t>
      </w:r>
      <w:r w:rsidR="009F156E">
        <w:rPr>
          <w:rFonts w:ascii="Times New Roman" w:hAnsi="Times New Roman" w:cs="Times New Roman"/>
          <w:sz w:val="24"/>
          <w:szCs w:val="24"/>
        </w:rPr>
        <w:t xml:space="preserve">h which an effect might occur. </w:t>
      </w:r>
      <w:r w:rsidR="00A04021">
        <w:rPr>
          <w:rFonts w:ascii="Times New Roman" w:hAnsi="Times New Roman" w:cs="Times New Roman"/>
          <w:sz w:val="24"/>
          <w:szCs w:val="24"/>
        </w:rPr>
        <w:t xml:space="preserve"> Because of the years </w:t>
      </w:r>
      <w:r w:rsidR="00621101">
        <w:rPr>
          <w:rFonts w:ascii="Times New Roman" w:hAnsi="Times New Roman" w:cs="Times New Roman"/>
          <w:sz w:val="24"/>
          <w:szCs w:val="24"/>
        </w:rPr>
        <w:t xml:space="preserve">differ </w:t>
      </w:r>
      <w:r w:rsidR="00A04021">
        <w:rPr>
          <w:rFonts w:ascii="Times New Roman" w:hAnsi="Times New Roman" w:cs="Times New Roman"/>
          <w:sz w:val="24"/>
          <w:szCs w:val="24"/>
        </w:rPr>
        <w:t xml:space="preserve">for which </w:t>
      </w:r>
      <w:r w:rsidR="00621101">
        <w:rPr>
          <w:rFonts w:ascii="Times New Roman" w:hAnsi="Times New Roman" w:cs="Times New Roman"/>
          <w:sz w:val="24"/>
          <w:szCs w:val="24"/>
        </w:rPr>
        <w:t xml:space="preserve">the </w:t>
      </w:r>
      <w:r w:rsidR="00A04021">
        <w:rPr>
          <w:rFonts w:ascii="Times New Roman" w:hAnsi="Times New Roman" w:cs="Times New Roman"/>
          <w:sz w:val="24"/>
          <w:szCs w:val="24"/>
        </w:rPr>
        <w:t>various data element</w:t>
      </w:r>
      <w:r w:rsidR="00621101">
        <w:rPr>
          <w:rFonts w:ascii="Times New Roman" w:hAnsi="Times New Roman" w:cs="Times New Roman"/>
          <w:sz w:val="24"/>
          <w:szCs w:val="24"/>
        </w:rPr>
        <w:t>s</w:t>
      </w:r>
      <w:r w:rsidR="00A04021">
        <w:rPr>
          <w:rFonts w:ascii="Times New Roman" w:hAnsi="Times New Roman" w:cs="Times New Roman"/>
          <w:sz w:val="24"/>
          <w:szCs w:val="24"/>
        </w:rPr>
        <w:t xml:space="preserve"> are available, the period used for various regressions </w:t>
      </w:r>
      <w:r w:rsidR="00621101">
        <w:rPr>
          <w:rFonts w:ascii="Times New Roman" w:hAnsi="Times New Roman" w:cs="Times New Roman"/>
          <w:sz w:val="24"/>
          <w:szCs w:val="24"/>
        </w:rPr>
        <w:t xml:space="preserve">also </w:t>
      </w:r>
      <w:r w:rsidR="00A04021">
        <w:rPr>
          <w:rFonts w:ascii="Times New Roman" w:hAnsi="Times New Roman" w:cs="Times New Roman"/>
          <w:sz w:val="24"/>
          <w:szCs w:val="24"/>
        </w:rPr>
        <w:t>differ</w:t>
      </w:r>
      <w:r w:rsidR="00621101">
        <w:rPr>
          <w:rFonts w:ascii="Times New Roman" w:hAnsi="Times New Roman" w:cs="Times New Roman"/>
          <w:sz w:val="24"/>
          <w:szCs w:val="24"/>
        </w:rPr>
        <w:t>s</w:t>
      </w:r>
      <w:r w:rsidR="00A04021">
        <w:rPr>
          <w:rFonts w:ascii="Times New Roman" w:hAnsi="Times New Roman" w:cs="Times New Roman"/>
          <w:sz w:val="24"/>
          <w:szCs w:val="24"/>
        </w:rPr>
        <w:t xml:space="preserve">. </w:t>
      </w:r>
    </w:p>
    <w:p w:rsidR="00BF0FF4" w:rsidRDefault="009F156E" w:rsidP="00D00DD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3E513D">
        <w:rPr>
          <w:rFonts w:ascii="Times New Roman" w:hAnsi="Times New Roman" w:cs="Times New Roman"/>
          <w:sz w:val="24"/>
          <w:szCs w:val="24"/>
        </w:rPr>
        <w:t>s we argued earlier, one</w:t>
      </w:r>
      <w:r>
        <w:rPr>
          <w:rFonts w:ascii="Times New Roman" w:hAnsi="Times New Roman" w:cs="Times New Roman"/>
          <w:sz w:val="24"/>
          <w:szCs w:val="24"/>
        </w:rPr>
        <w:t xml:space="preserve"> channel is that </w:t>
      </w:r>
      <w:r w:rsidR="00902681">
        <w:rPr>
          <w:rFonts w:ascii="Times New Roman" w:hAnsi="Times New Roman" w:cs="Times New Roman"/>
          <w:sz w:val="24"/>
          <w:szCs w:val="24"/>
        </w:rPr>
        <w:t>foreclose</w:t>
      </w:r>
      <w:r w:rsidR="005C137D">
        <w:rPr>
          <w:rFonts w:ascii="Times New Roman" w:hAnsi="Times New Roman" w:cs="Times New Roman"/>
          <w:sz w:val="24"/>
          <w:szCs w:val="24"/>
        </w:rPr>
        <w:t>d properties</w:t>
      </w:r>
      <w:r w:rsidR="00902681">
        <w:rPr>
          <w:rFonts w:ascii="Times New Roman" w:hAnsi="Times New Roman" w:cs="Times New Roman"/>
          <w:sz w:val="24"/>
          <w:szCs w:val="24"/>
        </w:rPr>
        <w:t xml:space="preserve"> </w:t>
      </w:r>
      <w:r w:rsidR="005C137D">
        <w:rPr>
          <w:rFonts w:ascii="Times New Roman" w:hAnsi="Times New Roman" w:cs="Times New Roman"/>
          <w:sz w:val="24"/>
          <w:szCs w:val="24"/>
        </w:rPr>
        <w:t>tend to sell at discounted prices</w:t>
      </w:r>
      <w:r w:rsidR="003E513D">
        <w:rPr>
          <w:rFonts w:ascii="Times New Roman" w:hAnsi="Times New Roman" w:cs="Times New Roman"/>
          <w:sz w:val="24"/>
          <w:szCs w:val="24"/>
        </w:rPr>
        <w:t>,</w:t>
      </w:r>
      <w:r w:rsidR="005C137D">
        <w:rPr>
          <w:rFonts w:ascii="Times New Roman" w:hAnsi="Times New Roman" w:cs="Times New Roman"/>
          <w:sz w:val="24"/>
          <w:szCs w:val="24"/>
        </w:rPr>
        <w:t xml:space="preserve"> and </w:t>
      </w:r>
      <w:r w:rsidR="00B655CA">
        <w:rPr>
          <w:rFonts w:ascii="Times New Roman" w:hAnsi="Times New Roman" w:cs="Times New Roman"/>
          <w:sz w:val="24"/>
          <w:szCs w:val="24"/>
        </w:rPr>
        <w:t>studies</w:t>
      </w:r>
      <w:r w:rsidR="005C137D">
        <w:rPr>
          <w:rFonts w:ascii="Times New Roman" w:hAnsi="Times New Roman" w:cs="Times New Roman"/>
          <w:sz w:val="24"/>
          <w:szCs w:val="24"/>
        </w:rPr>
        <w:t xml:space="preserve"> </w:t>
      </w:r>
      <w:r w:rsidR="00B655CA">
        <w:rPr>
          <w:rFonts w:ascii="Times New Roman" w:hAnsi="Times New Roman" w:cs="Times New Roman"/>
          <w:sz w:val="24"/>
          <w:szCs w:val="24"/>
        </w:rPr>
        <w:t xml:space="preserve">suggest that foreclosures </w:t>
      </w:r>
      <w:r w:rsidR="00902681">
        <w:rPr>
          <w:rFonts w:ascii="Times New Roman" w:hAnsi="Times New Roman" w:cs="Times New Roman"/>
          <w:sz w:val="24"/>
          <w:szCs w:val="24"/>
        </w:rPr>
        <w:t xml:space="preserve">have spillover effects on the </w:t>
      </w:r>
      <w:r w:rsidR="00AE1A1A">
        <w:rPr>
          <w:rFonts w:ascii="Times New Roman" w:hAnsi="Times New Roman" w:cs="Times New Roman"/>
          <w:sz w:val="24"/>
          <w:szCs w:val="24"/>
        </w:rPr>
        <w:t xml:space="preserve">market </w:t>
      </w:r>
      <w:r w:rsidR="00902681">
        <w:rPr>
          <w:rFonts w:ascii="Times New Roman" w:hAnsi="Times New Roman" w:cs="Times New Roman"/>
          <w:sz w:val="24"/>
          <w:szCs w:val="24"/>
        </w:rPr>
        <w:t>values of other properties in the jurisdiction</w:t>
      </w:r>
      <w:r w:rsidR="00B655CA">
        <w:rPr>
          <w:rFonts w:ascii="Times New Roman" w:hAnsi="Times New Roman" w:cs="Times New Roman"/>
          <w:sz w:val="24"/>
          <w:szCs w:val="24"/>
        </w:rPr>
        <w:t xml:space="preserve">.  </w:t>
      </w:r>
      <w:r w:rsidR="00621101">
        <w:rPr>
          <w:rFonts w:ascii="Times New Roman" w:hAnsi="Times New Roman" w:cs="Times New Roman"/>
          <w:sz w:val="24"/>
          <w:szCs w:val="24"/>
        </w:rPr>
        <w:t xml:space="preserve">However, </w:t>
      </w:r>
      <w:r w:rsidR="00095AD6">
        <w:rPr>
          <w:rFonts w:ascii="Times New Roman" w:hAnsi="Times New Roman" w:cs="Times New Roman"/>
          <w:sz w:val="24"/>
          <w:szCs w:val="24"/>
        </w:rPr>
        <w:t xml:space="preserve">changes in market values are driven by </w:t>
      </w:r>
      <w:r w:rsidR="00D80EED">
        <w:rPr>
          <w:rFonts w:ascii="Times New Roman" w:hAnsi="Times New Roman" w:cs="Times New Roman"/>
          <w:sz w:val="24"/>
          <w:szCs w:val="24"/>
        </w:rPr>
        <w:t xml:space="preserve">general </w:t>
      </w:r>
      <w:r w:rsidR="00095AD6">
        <w:rPr>
          <w:rFonts w:ascii="Times New Roman" w:hAnsi="Times New Roman" w:cs="Times New Roman"/>
          <w:sz w:val="24"/>
          <w:szCs w:val="24"/>
        </w:rPr>
        <w:t xml:space="preserve">economic conditions as well as by foreclosures, which </w:t>
      </w:r>
      <w:r w:rsidR="003E513D">
        <w:rPr>
          <w:rFonts w:ascii="Times New Roman" w:hAnsi="Times New Roman" w:cs="Times New Roman"/>
          <w:sz w:val="24"/>
          <w:szCs w:val="24"/>
        </w:rPr>
        <w:t>are</w:t>
      </w:r>
      <w:r w:rsidR="00095AD6">
        <w:rPr>
          <w:rFonts w:ascii="Times New Roman" w:hAnsi="Times New Roman" w:cs="Times New Roman"/>
          <w:sz w:val="24"/>
          <w:szCs w:val="24"/>
        </w:rPr>
        <w:t xml:space="preserve"> also driven</w:t>
      </w:r>
      <w:r w:rsidR="00D80EED">
        <w:rPr>
          <w:rFonts w:ascii="Times New Roman" w:hAnsi="Times New Roman" w:cs="Times New Roman"/>
          <w:sz w:val="24"/>
          <w:szCs w:val="24"/>
        </w:rPr>
        <w:t xml:space="preserve"> in part</w:t>
      </w:r>
      <w:r w:rsidR="00095AD6">
        <w:rPr>
          <w:rFonts w:ascii="Times New Roman" w:hAnsi="Times New Roman" w:cs="Times New Roman"/>
          <w:sz w:val="24"/>
          <w:szCs w:val="24"/>
        </w:rPr>
        <w:t xml:space="preserve"> by </w:t>
      </w:r>
      <w:r w:rsidR="00D80EED">
        <w:rPr>
          <w:rFonts w:ascii="Times New Roman" w:hAnsi="Times New Roman" w:cs="Times New Roman"/>
          <w:sz w:val="24"/>
          <w:szCs w:val="24"/>
        </w:rPr>
        <w:t xml:space="preserve">the same general </w:t>
      </w:r>
      <w:r w:rsidR="00095AD6">
        <w:rPr>
          <w:rFonts w:ascii="Times New Roman" w:hAnsi="Times New Roman" w:cs="Times New Roman"/>
          <w:sz w:val="24"/>
          <w:szCs w:val="24"/>
        </w:rPr>
        <w:t>economic conditions.  Thus, w</w:t>
      </w:r>
      <w:r w:rsidR="00902681">
        <w:rPr>
          <w:rFonts w:ascii="Times New Roman" w:hAnsi="Times New Roman" w:cs="Times New Roman"/>
          <w:sz w:val="24"/>
          <w:szCs w:val="24"/>
        </w:rPr>
        <w:t xml:space="preserve">e </w:t>
      </w:r>
      <w:r w:rsidR="00BF0FF4">
        <w:rPr>
          <w:rFonts w:ascii="Times New Roman" w:hAnsi="Times New Roman" w:cs="Times New Roman"/>
          <w:sz w:val="24"/>
          <w:szCs w:val="24"/>
        </w:rPr>
        <w:t>est</w:t>
      </w:r>
      <w:r>
        <w:rPr>
          <w:rFonts w:ascii="Times New Roman" w:hAnsi="Times New Roman" w:cs="Times New Roman"/>
          <w:sz w:val="24"/>
          <w:szCs w:val="24"/>
        </w:rPr>
        <w:t>imate</w:t>
      </w:r>
      <w:r w:rsidR="00902681">
        <w:rPr>
          <w:rFonts w:ascii="Times New Roman" w:hAnsi="Times New Roman" w:cs="Times New Roman"/>
          <w:sz w:val="24"/>
          <w:szCs w:val="24"/>
        </w:rPr>
        <w:t xml:space="preserve"> regressions of the adjusted 100</w:t>
      </w:r>
      <w:r w:rsidR="00BF0FF4">
        <w:rPr>
          <w:rFonts w:ascii="Times New Roman" w:hAnsi="Times New Roman" w:cs="Times New Roman"/>
          <w:sz w:val="24"/>
          <w:szCs w:val="24"/>
        </w:rPr>
        <w:t>%</w:t>
      </w:r>
      <w:r w:rsidR="00902681">
        <w:rPr>
          <w:rFonts w:ascii="Times New Roman" w:hAnsi="Times New Roman" w:cs="Times New Roman"/>
          <w:sz w:val="24"/>
          <w:szCs w:val="24"/>
        </w:rPr>
        <w:t xml:space="preserve"> digest</w:t>
      </w:r>
      <w:r>
        <w:rPr>
          <w:rFonts w:ascii="Times New Roman" w:hAnsi="Times New Roman" w:cs="Times New Roman"/>
          <w:sz w:val="24"/>
          <w:szCs w:val="24"/>
        </w:rPr>
        <w:t xml:space="preserve"> (as a proxy for market values)</w:t>
      </w:r>
      <w:r w:rsidR="00902681">
        <w:rPr>
          <w:rFonts w:ascii="Times New Roman" w:hAnsi="Times New Roman" w:cs="Times New Roman"/>
          <w:sz w:val="24"/>
          <w:szCs w:val="24"/>
        </w:rPr>
        <w:t xml:space="preserve"> </w:t>
      </w:r>
      <w:r w:rsidR="00474AAB">
        <w:rPr>
          <w:rFonts w:ascii="Times New Roman" w:hAnsi="Times New Roman" w:cs="Times New Roman"/>
          <w:sz w:val="24"/>
          <w:szCs w:val="24"/>
        </w:rPr>
        <w:t xml:space="preserve">on </w:t>
      </w:r>
      <w:r w:rsidR="009E2C66">
        <w:rPr>
          <w:rFonts w:ascii="Times New Roman" w:hAnsi="Times New Roman" w:cs="Times New Roman"/>
          <w:sz w:val="24"/>
          <w:szCs w:val="24"/>
        </w:rPr>
        <w:t xml:space="preserve">county-level per capita </w:t>
      </w:r>
      <w:r w:rsidR="00474AAB">
        <w:rPr>
          <w:rFonts w:ascii="Times New Roman" w:hAnsi="Times New Roman" w:cs="Times New Roman"/>
          <w:sz w:val="24"/>
          <w:szCs w:val="24"/>
        </w:rPr>
        <w:t xml:space="preserve">income and population, </w:t>
      </w:r>
      <w:r w:rsidR="00747A41">
        <w:rPr>
          <w:rFonts w:ascii="Times New Roman" w:hAnsi="Times New Roman" w:cs="Times New Roman"/>
          <w:sz w:val="24"/>
          <w:szCs w:val="24"/>
        </w:rPr>
        <w:t>both</w:t>
      </w:r>
      <w:r w:rsidR="00474AAB">
        <w:rPr>
          <w:rFonts w:ascii="Times New Roman" w:hAnsi="Times New Roman" w:cs="Times New Roman"/>
          <w:sz w:val="24"/>
          <w:szCs w:val="24"/>
        </w:rPr>
        <w:t xml:space="preserve"> in terms of year-to-year percent changes</w:t>
      </w:r>
      <w:r w:rsidR="006928FB">
        <w:rPr>
          <w:rFonts w:ascii="Times New Roman" w:hAnsi="Times New Roman" w:cs="Times New Roman"/>
          <w:sz w:val="24"/>
          <w:szCs w:val="24"/>
        </w:rPr>
        <w:t xml:space="preserve"> and lagged one year</w:t>
      </w:r>
      <w:r w:rsidR="00AE61A3">
        <w:rPr>
          <w:rFonts w:ascii="Times New Roman" w:hAnsi="Times New Roman" w:cs="Times New Roman"/>
          <w:sz w:val="24"/>
          <w:szCs w:val="24"/>
        </w:rPr>
        <w:t xml:space="preserve"> to correspond to the beginning of the fiscal year</w:t>
      </w:r>
      <w:r w:rsidR="006928FB">
        <w:rPr>
          <w:rFonts w:ascii="Times New Roman" w:hAnsi="Times New Roman" w:cs="Times New Roman"/>
          <w:sz w:val="24"/>
          <w:szCs w:val="24"/>
        </w:rPr>
        <w:t xml:space="preserve">, </w:t>
      </w:r>
      <w:r>
        <w:rPr>
          <w:rFonts w:ascii="Times New Roman" w:hAnsi="Times New Roman" w:cs="Times New Roman"/>
          <w:sz w:val="24"/>
          <w:szCs w:val="24"/>
        </w:rPr>
        <w:t>as well as</w:t>
      </w:r>
      <w:r w:rsidR="00474AAB">
        <w:rPr>
          <w:rFonts w:ascii="Times New Roman" w:hAnsi="Times New Roman" w:cs="Times New Roman"/>
          <w:sz w:val="24"/>
          <w:szCs w:val="24"/>
        </w:rPr>
        <w:t xml:space="preserve"> on </w:t>
      </w:r>
      <w:r w:rsidR="00AE61A3">
        <w:rPr>
          <w:rFonts w:ascii="Times New Roman" w:hAnsi="Times New Roman" w:cs="Times New Roman"/>
          <w:sz w:val="24"/>
          <w:szCs w:val="24"/>
        </w:rPr>
        <w:t xml:space="preserve">lagged </w:t>
      </w:r>
      <w:r w:rsidR="00474AAB">
        <w:rPr>
          <w:rFonts w:ascii="Times New Roman" w:hAnsi="Times New Roman" w:cs="Times New Roman"/>
          <w:sz w:val="24"/>
          <w:szCs w:val="24"/>
        </w:rPr>
        <w:t>measures of foreclosure activity</w:t>
      </w:r>
      <w:r w:rsidR="00AE1A1A">
        <w:rPr>
          <w:rFonts w:ascii="Times New Roman" w:hAnsi="Times New Roman" w:cs="Times New Roman"/>
          <w:sz w:val="24"/>
          <w:szCs w:val="24"/>
        </w:rPr>
        <w:t>.</w:t>
      </w:r>
      <w:r w:rsidR="0078012A">
        <w:rPr>
          <w:rStyle w:val="FootnoteReference"/>
          <w:rFonts w:ascii="Times New Roman" w:hAnsi="Times New Roman" w:cs="Times New Roman"/>
          <w:sz w:val="24"/>
          <w:szCs w:val="24"/>
        </w:rPr>
        <w:footnoteReference w:id="15"/>
      </w:r>
      <w:r w:rsidR="00AE1A1A">
        <w:rPr>
          <w:rFonts w:ascii="Times New Roman" w:hAnsi="Times New Roman" w:cs="Times New Roman"/>
          <w:sz w:val="24"/>
          <w:szCs w:val="24"/>
        </w:rPr>
        <w:t xml:space="preserve">  </w:t>
      </w:r>
      <w:r w:rsidR="00747A41">
        <w:rPr>
          <w:rFonts w:ascii="Times New Roman" w:hAnsi="Times New Roman" w:cs="Times New Roman"/>
          <w:sz w:val="24"/>
          <w:szCs w:val="24"/>
        </w:rPr>
        <w:t xml:space="preserve">To </w:t>
      </w:r>
      <w:r w:rsidR="00095AD6">
        <w:rPr>
          <w:rFonts w:ascii="Times New Roman" w:hAnsi="Times New Roman" w:cs="Times New Roman"/>
          <w:sz w:val="24"/>
          <w:szCs w:val="24"/>
        </w:rPr>
        <w:t xml:space="preserve">account for the likelihood </w:t>
      </w:r>
      <w:r w:rsidR="00747A41">
        <w:rPr>
          <w:rFonts w:ascii="Times New Roman" w:hAnsi="Times New Roman" w:cs="Times New Roman"/>
          <w:sz w:val="24"/>
          <w:szCs w:val="24"/>
        </w:rPr>
        <w:t xml:space="preserve">that foreclosure activity and market values </w:t>
      </w:r>
      <w:r w:rsidR="003E513D">
        <w:rPr>
          <w:rFonts w:ascii="Times New Roman" w:hAnsi="Times New Roman" w:cs="Times New Roman"/>
          <w:sz w:val="24"/>
          <w:szCs w:val="24"/>
        </w:rPr>
        <w:t>are</w:t>
      </w:r>
      <w:r w:rsidR="00747A41">
        <w:rPr>
          <w:rFonts w:ascii="Times New Roman" w:hAnsi="Times New Roman" w:cs="Times New Roman"/>
          <w:sz w:val="24"/>
          <w:szCs w:val="24"/>
        </w:rPr>
        <w:t xml:space="preserve"> jointly affected by the local severity of the recent recession, we also include </w:t>
      </w:r>
      <w:r w:rsidR="000F3C52">
        <w:rPr>
          <w:rFonts w:ascii="Times New Roman" w:hAnsi="Times New Roman" w:cs="Times New Roman"/>
          <w:sz w:val="24"/>
          <w:szCs w:val="24"/>
        </w:rPr>
        <w:t xml:space="preserve">a measure of the local </w:t>
      </w:r>
      <w:r w:rsidR="00747A41">
        <w:rPr>
          <w:rFonts w:ascii="Times New Roman" w:hAnsi="Times New Roman" w:cs="Times New Roman"/>
          <w:sz w:val="24"/>
          <w:szCs w:val="24"/>
        </w:rPr>
        <w:t>labor market in some regressions</w:t>
      </w:r>
      <w:r w:rsidR="003E513D">
        <w:rPr>
          <w:rFonts w:ascii="Times New Roman" w:hAnsi="Times New Roman" w:cs="Times New Roman"/>
          <w:sz w:val="24"/>
          <w:szCs w:val="24"/>
        </w:rPr>
        <w:t>;</w:t>
      </w:r>
      <w:r w:rsidR="00A04021">
        <w:rPr>
          <w:rFonts w:ascii="Times New Roman" w:hAnsi="Times New Roman" w:cs="Times New Roman"/>
          <w:sz w:val="24"/>
          <w:szCs w:val="24"/>
        </w:rPr>
        <w:t xml:space="preserve"> </w:t>
      </w:r>
      <w:r w:rsidR="00747A41">
        <w:rPr>
          <w:rFonts w:ascii="Times New Roman" w:hAnsi="Times New Roman" w:cs="Times New Roman"/>
          <w:sz w:val="24"/>
          <w:szCs w:val="24"/>
        </w:rPr>
        <w:t xml:space="preserve">specifically, </w:t>
      </w:r>
      <w:r w:rsidR="00A04021">
        <w:rPr>
          <w:rFonts w:ascii="Times New Roman" w:hAnsi="Times New Roman" w:cs="Times New Roman"/>
          <w:sz w:val="24"/>
          <w:szCs w:val="24"/>
        </w:rPr>
        <w:t xml:space="preserve">we include </w:t>
      </w:r>
      <w:r w:rsidR="00747A41">
        <w:rPr>
          <w:rFonts w:ascii="Times New Roman" w:hAnsi="Times New Roman" w:cs="Times New Roman"/>
          <w:sz w:val="24"/>
          <w:szCs w:val="24"/>
        </w:rPr>
        <w:t xml:space="preserve">the </w:t>
      </w:r>
      <w:r w:rsidR="00AE61A3">
        <w:rPr>
          <w:rFonts w:ascii="Times New Roman" w:hAnsi="Times New Roman" w:cs="Times New Roman"/>
          <w:sz w:val="24"/>
          <w:szCs w:val="24"/>
        </w:rPr>
        <w:t xml:space="preserve">lagged </w:t>
      </w:r>
      <w:r w:rsidR="00747A41">
        <w:rPr>
          <w:rFonts w:ascii="Times New Roman" w:hAnsi="Times New Roman" w:cs="Times New Roman"/>
          <w:sz w:val="24"/>
          <w:szCs w:val="24"/>
        </w:rPr>
        <w:t>percent change in the number of persons employed.</w:t>
      </w:r>
      <w:r w:rsidR="00A6247A">
        <w:rPr>
          <w:rStyle w:val="FootnoteReference"/>
          <w:rFonts w:ascii="Times New Roman" w:hAnsi="Times New Roman" w:cs="Times New Roman"/>
          <w:sz w:val="24"/>
          <w:szCs w:val="24"/>
        </w:rPr>
        <w:footnoteReference w:id="16"/>
      </w:r>
      <w:r w:rsidR="00747A41">
        <w:rPr>
          <w:rFonts w:ascii="Times New Roman" w:hAnsi="Times New Roman" w:cs="Times New Roman"/>
          <w:sz w:val="24"/>
          <w:szCs w:val="24"/>
        </w:rPr>
        <w:t xml:space="preserve">  </w:t>
      </w:r>
      <w:r w:rsidR="00084914">
        <w:rPr>
          <w:rFonts w:ascii="Times New Roman" w:hAnsi="Times New Roman" w:cs="Times New Roman"/>
          <w:sz w:val="24"/>
          <w:szCs w:val="24"/>
        </w:rPr>
        <w:t xml:space="preserve">Results of these regressions are presented in </w:t>
      </w:r>
      <w:r w:rsidR="00084914" w:rsidRPr="00982FF0">
        <w:rPr>
          <w:rFonts w:ascii="Times New Roman" w:hAnsi="Times New Roman" w:cs="Times New Roman"/>
          <w:sz w:val="24"/>
          <w:szCs w:val="24"/>
        </w:rPr>
        <w:t xml:space="preserve">Table </w:t>
      </w:r>
      <w:r w:rsidR="00497E15">
        <w:rPr>
          <w:rFonts w:ascii="Times New Roman" w:hAnsi="Times New Roman" w:cs="Times New Roman"/>
          <w:sz w:val="24"/>
          <w:szCs w:val="24"/>
        </w:rPr>
        <w:t>4</w:t>
      </w:r>
      <w:r w:rsidR="00BF0FF4">
        <w:rPr>
          <w:rFonts w:ascii="Times New Roman" w:hAnsi="Times New Roman" w:cs="Times New Roman"/>
          <w:sz w:val="24"/>
          <w:szCs w:val="24"/>
        </w:rPr>
        <w:t>.</w:t>
      </w:r>
    </w:p>
    <w:p w:rsidR="004423E0" w:rsidRDefault="004423E0" w:rsidP="005C137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6D1F22">
        <w:rPr>
          <w:rFonts w:ascii="Times New Roman" w:hAnsi="Times New Roman" w:cs="Times New Roman"/>
          <w:sz w:val="24"/>
          <w:szCs w:val="24"/>
        </w:rPr>
        <w:t>regression in the first column</w:t>
      </w:r>
      <w:r w:rsidR="00883324">
        <w:rPr>
          <w:rFonts w:ascii="Times New Roman" w:hAnsi="Times New Roman" w:cs="Times New Roman"/>
          <w:sz w:val="24"/>
          <w:szCs w:val="24"/>
        </w:rPr>
        <w:t xml:space="preserve"> of </w:t>
      </w:r>
      <w:r w:rsidR="00883324" w:rsidRPr="00982FF0">
        <w:rPr>
          <w:rFonts w:ascii="Times New Roman" w:hAnsi="Times New Roman" w:cs="Times New Roman"/>
          <w:sz w:val="24"/>
          <w:szCs w:val="24"/>
        </w:rPr>
        <w:t xml:space="preserve">Table </w:t>
      </w:r>
      <w:r w:rsidR="00497E15">
        <w:rPr>
          <w:rFonts w:ascii="Times New Roman" w:hAnsi="Times New Roman" w:cs="Times New Roman"/>
          <w:sz w:val="24"/>
          <w:szCs w:val="24"/>
        </w:rPr>
        <w:t xml:space="preserve">4 </w:t>
      </w:r>
      <w:r w:rsidR="006D1F22">
        <w:rPr>
          <w:rFonts w:ascii="Times New Roman" w:hAnsi="Times New Roman" w:cs="Times New Roman"/>
          <w:sz w:val="24"/>
          <w:szCs w:val="24"/>
        </w:rPr>
        <w:t>is a</w:t>
      </w:r>
      <w:r>
        <w:rPr>
          <w:rFonts w:ascii="Times New Roman" w:hAnsi="Times New Roman" w:cs="Times New Roman"/>
          <w:sz w:val="24"/>
          <w:szCs w:val="24"/>
        </w:rPr>
        <w:t xml:space="preserve"> pooled </w:t>
      </w:r>
      <w:r w:rsidR="006D1F22">
        <w:rPr>
          <w:rFonts w:ascii="Times New Roman" w:hAnsi="Times New Roman" w:cs="Times New Roman"/>
          <w:sz w:val="24"/>
          <w:szCs w:val="24"/>
        </w:rPr>
        <w:t>regression with panel-corrected standard errors</w:t>
      </w:r>
      <w:r w:rsidR="00E073D7">
        <w:rPr>
          <w:rFonts w:ascii="Times New Roman" w:hAnsi="Times New Roman" w:cs="Times New Roman"/>
          <w:sz w:val="24"/>
          <w:szCs w:val="24"/>
        </w:rPr>
        <w:t xml:space="preserve"> (PCSE)</w:t>
      </w:r>
      <w:r w:rsidR="006D1F22">
        <w:rPr>
          <w:rFonts w:ascii="Times New Roman" w:hAnsi="Times New Roman" w:cs="Times New Roman"/>
          <w:sz w:val="24"/>
          <w:szCs w:val="24"/>
        </w:rPr>
        <w:t>, while the other 6 regressions are fixed effects regressions with cluster</w:t>
      </w:r>
      <w:r w:rsidR="00E2703E">
        <w:rPr>
          <w:rFonts w:ascii="Times New Roman" w:hAnsi="Times New Roman" w:cs="Times New Roman"/>
          <w:sz w:val="24"/>
          <w:szCs w:val="24"/>
        </w:rPr>
        <w:t>-</w:t>
      </w:r>
      <w:r w:rsidR="006D1F22">
        <w:rPr>
          <w:rFonts w:ascii="Times New Roman" w:hAnsi="Times New Roman" w:cs="Times New Roman"/>
          <w:sz w:val="24"/>
          <w:szCs w:val="24"/>
        </w:rPr>
        <w:t>robust standard errors</w:t>
      </w:r>
      <w:r w:rsidR="00E073D7">
        <w:rPr>
          <w:rFonts w:ascii="Times New Roman" w:hAnsi="Times New Roman" w:cs="Times New Roman"/>
          <w:sz w:val="24"/>
          <w:szCs w:val="24"/>
        </w:rPr>
        <w:t xml:space="preserve"> (FE)</w:t>
      </w:r>
      <w:r w:rsidR="006D1F22">
        <w:rPr>
          <w:rFonts w:ascii="Times New Roman" w:hAnsi="Times New Roman" w:cs="Times New Roman"/>
          <w:sz w:val="24"/>
          <w:szCs w:val="24"/>
        </w:rPr>
        <w:t xml:space="preserve">.  </w:t>
      </w:r>
      <w:r>
        <w:rPr>
          <w:rFonts w:ascii="Times New Roman" w:hAnsi="Times New Roman" w:cs="Times New Roman"/>
          <w:sz w:val="24"/>
          <w:szCs w:val="24"/>
        </w:rPr>
        <w:t xml:space="preserve">The first three columns of results in </w:t>
      </w:r>
      <w:r w:rsidRPr="00982FF0">
        <w:rPr>
          <w:rFonts w:ascii="Times New Roman" w:hAnsi="Times New Roman" w:cs="Times New Roman"/>
          <w:sz w:val="24"/>
          <w:szCs w:val="24"/>
        </w:rPr>
        <w:t xml:space="preserve">Table </w:t>
      </w:r>
      <w:r w:rsidR="00497E15">
        <w:rPr>
          <w:rFonts w:ascii="Times New Roman" w:hAnsi="Times New Roman" w:cs="Times New Roman"/>
          <w:sz w:val="24"/>
          <w:szCs w:val="24"/>
        </w:rPr>
        <w:t xml:space="preserve">4 </w:t>
      </w:r>
      <w:r>
        <w:rPr>
          <w:rFonts w:ascii="Times New Roman" w:hAnsi="Times New Roman" w:cs="Times New Roman"/>
          <w:sz w:val="24"/>
          <w:szCs w:val="24"/>
        </w:rPr>
        <w:t xml:space="preserve">use data for the period 2000 to 2011 and do not include foreclosures.  </w:t>
      </w:r>
      <w:r w:rsidR="006D1F22">
        <w:rPr>
          <w:rFonts w:ascii="Times New Roman" w:hAnsi="Times New Roman" w:cs="Times New Roman"/>
          <w:sz w:val="24"/>
          <w:szCs w:val="24"/>
        </w:rPr>
        <w:t xml:space="preserve">As expected, </w:t>
      </w:r>
      <w:r w:rsidR="00883324">
        <w:rPr>
          <w:rFonts w:ascii="Times New Roman" w:hAnsi="Times New Roman" w:cs="Times New Roman"/>
          <w:sz w:val="24"/>
          <w:szCs w:val="24"/>
        </w:rPr>
        <w:t xml:space="preserve">larger </w:t>
      </w:r>
      <w:r w:rsidR="006D1F22">
        <w:rPr>
          <w:rFonts w:ascii="Times New Roman" w:hAnsi="Times New Roman" w:cs="Times New Roman"/>
          <w:sz w:val="24"/>
          <w:szCs w:val="24"/>
        </w:rPr>
        <w:t>increases in personal income per capita,  population</w:t>
      </w:r>
      <w:r w:rsidR="006928FB">
        <w:rPr>
          <w:rFonts w:ascii="Times New Roman" w:hAnsi="Times New Roman" w:cs="Times New Roman"/>
          <w:sz w:val="24"/>
          <w:szCs w:val="24"/>
        </w:rPr>
        <w:t>,</w:t>
      </w:r>
      <w:r w:rsidR="006D1F22">
        <w:rPr>
          <w:rFonts w:ascii="Times New Roman" w:hAnsi="Times New Roman" w:cs="Times New Roman"/>
          <w:sz w:val="24"/>
          <w:szCs w:val="24"/>
        </w:rPr>
        <w:t xml:space="preserve"> and employment are all positively and statistically significant</w:t>
      </w:r>
      <w:r w:rsidR="006928FB">
        <w:rPr>
          <w:rFonts w:ascii="Times New Roman" w:hAnsi="Times New Roman" w:cs="Times New Roman"/>
          <w:sz w:val="24"/>
          <w:szCs w:val="24"/>
        </w:rPr>
        <w:t>ly</w:t>
      </w:r>
      <w:r w:rsidR="006D1F22">
        <w:rPr>
          <w:rFonts w:ascii="Times New Roman" w:hAnsi="Times New Roman" w:cs="Times New Roman"/>
          <w:sz w:val="24"/>
          <w:szCs w:val="24"/>
        </w:rPr>
        <w:t xml:space="preserve"> affect the percentage change in the 100% digest.  </w:t>
      </w:r>
    </w:p>
    <w:p w:rsidR="00022852" w:rsidRDefault="006D1F22" w:rsidP="005C137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regressions in columns </w:t>
      </w:r>
      <w:r w:rsidR="00883324">
        <w:rPr>
          <w:rFonts w:ascii="Times New Roman" w:hAnsi="Times New Roman" w:cs="Times New Roman"/>
          <w:sz w:val="24"/>
          <w:szCs w:val="24"/>
        </w:rPr>
        <w:t xml:space="preserve">4 and 5 of </w:t>
      </w:r>
      <w:r w:rsidR="00883324" w:rsidRPr="00982FF0">
        <w:rPr>
          <w:rFonts w:ascii="Times New Roman" w:hAnsi="Times New Roman" w:cs="Times New Roman"/>
          <w:sz w:val="24"/>
          <w:szCs w:val="24"/>
        </w:rPr>
        <w:t xml:space="preserve">Table </w:t>
      </w:r>
      <w:r w:rsidR="00497E15">
        <w:rPr>
          <w:rFonts w:ascii="Times New Roman" w:hAnsi="Times New Roman" w:cs="Times New Roman"/>
          <w:sz w:val="24"/>
          <w:szCs w:val="24"/>
        </w:rPr>
        <w:t xml:space="preserve">4 </w:t>
      </w:r>
      <w:r>
        <w:rPr>
          <w:rFonts w:ascii="Times New Roman" w:hAnsi="Times New Roman" w:cs="Times New Roman"/>
          <w:sz w:val="24"/>
          <w:szCs w:val="24"/>
        </w:rPr>
        <w:t xml:space="preserve">use foreclosures </w:t>
      </w:r>
      <w:r w:rsidR="006928FB">
        <w:rPr>
          <w:rFonts w:ascii="Times New Roman" w:hAnsi="Times New Roman" w:cs="Times New Roman"/>
          <w:sz w:val="24"/>
          <w:szCs w:val="24"/>
        </w:rPr>
        <w:t>per</w:t>
      </w:r>
      <w:r>
        <w:rPr>
          <w:rFonts w:ascii="Times New Roman" w:hAnsi="Times New Roman" w:cs="Times New Roman"/>
          <w:sz w:val="24"/>
          <w:szCs w:val="24"/>
        </w:rPr>
        <w:t xml:space="preserve"> housing unit</w:t>
      </w:r>
      <w:r w:rsidR="00883324">
        <w:rPr>
          <w:rFonts w:ascii="Times New Roman" w:hAnsi="Times New Roman" w:cs="Times New Roman"/>
          <w:sz w:val="24"/>
          <w:szCs w:val="24"/>
        </w:rPr>
        <w:t>,</w:t>
      </w:r>
      <w:r w:rsidR="006928FB">
        <w:rPr>
          <w:rFonts w:ascii="Times New Roman" w:hAnsi="Times New Roman" w:cs="Times New Roman"/>
          <w:sz w:val="24"/>
          <w:szCs w:val="24"/>
        </w:rPr>
        <w:t xml:space="preserve"> lagged one and two years,</w:t>
      </w:r>
      <w:r>
        <w:rPr>
          <w:rFonts w:ascii="Times New Roman" w:hAnsi="Times New Roman" w:cs="Times New Roman"/>
          <w:sz w:val="24"/>
          <w:szCs w:val="24"/>
        </w:rPr>
        <w:t xml:space="preserve"> while those in </w:t>
      </w:r>
      <w:r w:rsidR="00883324">
        <w:rPr>
          <w:rFonts w:ascii="Times New Roman" w:hAnsi="Times New Roman" w:cs="Times New Roman"/>
          <w:sz w:val="24"/>
          <w:szCs w:val="24"/>
        </w:rPr>
        <w:t xml:space="preserve">columns </w:t>
      </w:r>
      <w:r>
        <w:rPr>
          <w:rFonts w:ascii="Times New Roman" w:hAnsi="Times New Roman" w:cs="Times New Roman"/>
          <w:sz w:val="24"/>
          <w:szCs w:val="24"/>
        </w:rPr>
        <w:t>6 and 7</w:t>
      </w:r>
      <w:r w:rsidR="00883324">
        <w:rPr>
          <w:rFonts w:ascii="Times New Roman" w:hAnsi="Times New Roman" w:cs="Times New Roman"/>
          <w:sz w:val="24"/>
          <w:szCs w:val="24"/>
        </w:rPr>
        <w:t xml:space="preserve"> </w:t>
      </w:r>
      <w:r>
        <w:rPr>
          <w:rFonts w:ascii="Times New Roman" w:hAnsi="Times New Roman" w:cs="Times New Roman"/>
          <w:sz w:val="24"/>
          <w:szCs w:val="24"/>
        </w:rPr>
        <w:t xml:space="preserve">use foreclosures relative to population. </w:t>
      </w:r>
      <w:r w:rsidR="00BF0FF4">
        <w:rPr>
          <w:rFonts w:ascii="Times New Roman" w:hAnsi="Times New Roman" w:cs="Times New Roman"/>
          <w:sz w:val="24"/>
          <w:szCs w:val="24"/>
        </w:rPr>
        <w:t xml:space="preserve">These regressions </w:t>
      </w:r>
      <w:r w:rsidR="00084914">
        <w:rPr>
          <w:rFonts w:ascii="Times New Roman" w:hAnsi="Times New Roman" w:cs="Times New Roman"/>
          <w:sz w:val="24"/>
          <w:szCs w:val="24"/>
        </w:rPr>
        <w:t>show significant negative effects</w:t>
      </w:r>
      <w:r w:rsidR="009F156E">
        <w:rPr>
          <w:rFonts w:ascii="Times New Roman" w:hAnsi="Times New Roman" w:cs="Times New Roman"/>
          <w:sz w:val="24"/>
          <w:szCs w:val="24"/>
        </w:rPr>
        <w:t xml:space="preserve"> of foreclosures</w:t>
      </w:r>
      <w:r w:rsidR="003E3538">
        <w:rPr>
          <w:rFonts w:ascii="Times New Roman" w:hAnsi="Times New Roman" w:cs="Times New Roman"/>
          <w:sz w:val="24"/>
          <w:szCs w:val="24"/>
        </w:rPr>
        <w:t>, controlling for income and population growth</w:t>
      </w:r>
      <w:r w:rsidR="009355B8">
        <w:rPr>
          <w:rFonts w:ascii="Times New Roman" w:hAnsi="Times New Roman" w:cs="Times New Roman"/>
          <w:sz w:val="24"/>
          <w:szCs w:val="24"/>
        </w:rPr>
        <w:t xml:space="preserve">, and the coefficient estimates do not change materially when </w:t>
      </w:r>
      <w:r w:rsidR="000F3C52">
        <w:rPr>
          <w:rFonts w:ascii="Times New Roman" w:hAnsi="Times New Roman" w:cs="Times New Roman"/>
          <w:sz w:val="24"/>
          <w:szCs w:val="24"/>
        </w:rPr>
        <w:t>employment growth is</w:t>
      </w:r>
      <w:r w:rsidR="009355B8">
        <w:rPr>
          <w:rFonts w:ascii="Times New Roman" w:hAnsi="Times New Roman" w:cs="Times New Roman"/>
          <w:sz w:val="24"/>
          <w:szCs w:val="24"/>
        </w:rPr>
        <w:t xml:space="preserve"> included</w:t>
      </w:r>
      <w:r w:rsidR="003E3538">
        <w:rPr>
          <w:rFonts w:ascii="Times New Roman" w:hAnsi="Times New Roman" w:cs="Times New Roman"/>
          <w:sz w:val="24"/>
          <w:szCs w:val="24"/>
        </w:rPr>
        <w:t>.</w:t>
      </w:r>
      <w:r w:rsidR="00D00DD3">
        <w:rPr>
          <w:rFonts w:ascii="Times New Roman" w:hAnsi="Times New Roman" w:cs="Times New Roman"/>
          <w:sz w:val="24"/>
          <w:szCs w:val="24"/>
        </w:rPr>
        <w:t xml:space="preserve"> </w:t>
      </w:r>
      <w:r w:rsidR="00BF0FF4">
        <w:rPr>
          <w:rFonts w:ascii="Times New Roman" w:hAnsi="Times New Roman" w:cs="Times New Roman"/>
          <w:sz w:val="24"/>
          <w:szCs w:val="24"/>
        </w:rPr>
        <w:t xml:space="preserve"> </w:t>
      </w:r>
      <w:r>
        <w:rPr>
          <w:rFonts w:ascii="Times New Roman" w:hAnsi="Times New Roman" w:cs="Times New Roman"/>
          <w:sz w:val="24"/>
          <w:szCs w:val="24"/>
        </w:rPr>
        <w:t>Somewhat surprising is that</w:t>
      </w:r>
      <w:r w:rsidR="00883324">
        <w:rPr>
          <w:rFonts w:ascii="Times New Roman" w:hAnsi="Times New Roman" w:cs="Times New Roman"/>
          <w:sz w:val="24"/>
          <w:szCs w:val="24"/>
        </w:rPr>
        <w:t>,</w:t>
      </w:r>
      <w:r>
        <w:rPr>
          <w:rFonts w:ascii="Times New Roman" w:hAnsi="Times New Roman" w:cs="Times New Roman"/>
          <w:sz w:val="24"/>
          <w:szCs w:val="24"/>
        </w:rPr>
        <w:t xml:space="preserve"> while the coefficients on the change in employment is positive, the standard errors are much larger than in the 3</w:t>
      </w:r>
      <w:r w:rsidRPr="00883324">
        <w:rPr>
          <w:rFonts w:ascii="Times New Roman" w:hAnsi="Times New Roman" w:cs="Times New Roman"/>
          <w:sz w:val="24"/>
          <w:szCs w:val="24"/>
          <w:vertAlign w:val="superscript"/>
        </w:rPr>
        <w:t>rd</w:t>
      </w:r>
      <w:r>
        <w:rPr>
          <w:rFonts w:ascii="Times New Roman" w:hAnsi="Times New Roman" w:cs="Times New Roman"/>
          <w:sz w:val="24"/>
          <w:szCs w:val="24"/>
        </w:rPr>
        <w:t xml:space="preserve"> column. </w:t>
      </w:r>
      <w:r w:rsidR="00022852">
        <w:rPr>
          <w:rFonts w:ascii="Times New Roman" w:hAnsi="Times New Roman" w:cs="Times New Roman"/>
          <w:sz w:val="24"/>
          <w:szCs w:val="24"/>
        </w:rPr>
        <w:t>The coefficient estimates on foreclosures per 100 housing units suggest that a marginal increase of one foreclosure per 100 homes, which is approximately the increase in media</w:t>
      </w:r>
      <w:r w:rsidR="009F156E">
        <w:rPr>
          <w:rFonts w:ascii="Times New Roman" w:hAnsi="Times New Roman" w:cs="Times New Roman"/>
          <w:sz w:val="24"/>
          <w:szCs w:val="24"/>
        </w:rPr>
        <w:t>n foreclosures from 2006 to 2011</w:t>
      </w:r>
      <w:r w:rsidR="00022852">
        <w:rPr>
          <w:rFonts w:ascii="Times New Roman" w:hAnsi="Times New Roman" w:cs="Times New Roman"/>
          <w:sz w:val="24"/>
          <w:szCs w:val="24"/>
        </w:rPr>
        <w:t xml:space="preserve">, is associated with about a three percent decline in </w:t>
      </w:r>
      <w:r w:rsidR="00B20B23">
        <w:rPr>
          <w:rFonts w:ascii="Times New Roman" w:hAnsi="Times New Roman" w:cs="Times New Roman"/>
          <w:sz w:val="24"/>
          <w:szCs w:val="24"/>
        </w:rPr>
        <w:t xml:space="preserve">the adjusted </w:t>
      </w:r>
      <w:r w:rsidR="00A27DD8">
        <w:rPr>
          <w:rFonts w:ascii="Times New Roman" w:hAnsi="Times New Roman" w:cs="Times New Roman"/>
          <w:sz w:val="24"/>
          <w:szCs w:val="24"/>
        </w:rPr>
        <w:t xml:space="preserve">100% </w:t>
      </w:r>
      <w:r w:rsidR="00B20B23">
        <w:rPr>
          <w:rFonts w:ascii="Times New Roman" w:hAnsi="Times New Roman" w:cs="Times New Roman"/>
          <w:sz w:val="24"/>
          <w:szCs w:val="24"/>
        </w:rPr>
        <w:t xml:space="preserve">digest over </w:t>
      </w:r>
      <w:r w:rsidR="009F156E">
        <w:rPr>
          <w:rFonts w:ascii="Times New Roman" w:hAnsi="Times New Roman" w:cs="Times New Roman"/>
          <w:sz w:val="24"/>
          <w:szCs w:val="24"/>
        </w:rPr>
        <w:t>each of the two following years</w:t>
      </w:r>
      <w:r w:rsidR="00B20B23">
        <w:rPr>
          <w:rFonts w:ascii="Times New Roman" w:hAnsi="Times New Roman" w:cs="Times New Roman"/>
          <w:sz w:val="24"/>
          <w:szCs w:val="24"/>
        </w:rPr>
        <w:t>.  Similarly, an increase of one f</w:t>
      </w:r>
      <w:r w:rsidR="009F156E">
        <w:rPr>
          <w:rFonts w:ascii="Times New Roman" w:hAnsi="Times New Roman" w:cs="Times New Roman"/>
          <w:sz w:val="24"/>
          <w:szCs w:val="24"/>
        </w:rPr>
        <w:t xml:space="preserve">oreclosure per 1000 population </w:t>
      </w:r>
      <w:r w:rsidR="00B20B23">
        <w:rPr>
          <w:rFonts w:ascii="Times New Roman" w:hAnsi="Times New Roman" w:cs="Times New Roman"/>
          <w:sz w:val="24"/>
          <w:szCs w:val="24"/>
        </w:rPr>
        <w:t>is associated with about a 0.</w:t>
      </w:r>
      <w:r w:rsidR="009355B8">
        <w:rPr>
          <w:rFonts w:ascii="Times New Roman" w:hAnsi="Times New Roman" w:cs="Times New Roman"/>
          <w:sz w:val="24"/>
          <w:szCs w:val="24"/>
        </w:rPr>
        <w:t xml:space="preserve">7 </w:t>
      </w:r>
      <w:r w:rsidR="00B20B23">
        <w:rPr>
          <w:rFonts w:ascii="Times New Roman" w:hAnsi="Times New Roman" w:cs="Times New Roman"/>
          <w:sz w:val="24"/>
          <w:szCs w:val="24"/>
        </w:rPr>
        <w:t xml:space="preserve">percent </w:t>
      </w:r>
      <w:r w:rsidR="00B52D5D">
        <w:rPr>
          <w:rFonts w:ascii="Times New Roman" w:hAnsi="Times New Roman" w:cs="Times New Roman"/>
          <w:sz w:val="24"/>
          <w:szCs w:val="24"/>
        </w:rPr>
        <w:t xml:space="preserve">decline in the adjusted </w:t>
      </w:r>
      <w:r w:rsidR="00A27DD8">
        <w:rPr>
          <w:rFonts w:ascii="Times New Roman" w:hAnsi="Times New Roman" w:cs="Times New Roman"/>
          <w:sz w:val="24"/>
          <w:szCs w:val="24"/>
        </w:rPr>
        <w:t xml:space="preserve">100% </w:t>
      </w:r>
      <w:r w:rsidR="00B52D5D">
        <w:rPr>
          <w:rFonts w:ascii="Times New Roman" w:hAnsi="Times New Roman" w:cs="Times New Roman"/>
          <w:sz w:val="24"/>
          <w:szCs w:val="24"/>
        </w:rPr>
        <w:t>digest</w:t>
      </w:r>
      <w:r w:rsidR="00894B66" w:rsidRPr="00894B66">
        <w:rPr>
          <w:rFonts w:ascii="Times New Roman" w:hAnsi="Times New Roman" w:cs="Times New Roman"/>
          <w:sz w:val="24"/>
          <w:szCs w:val="24"/>
        </w:rPr>
        <w:t xml:space="preserve"> </w:t>
      </w:r>
      <w:r w:rsidR="00894B66">
        <w:rPr>
          <w:rFonts w:ascii="Times New Roman" w:hAnsi="Times New Roman" w:cs="Times New Roman"/>
          <w:sz w:val="24"/>
          <w:szCs w:val="24"/>
        </w:rPr>
        <w:t>over each of the two following years</w:t>
      </w:r>
      <w:r w:rsidR="00B20B23">
        <w:rPr>
          <w:rFonts w:ascii="Times New Roman" w:hAnsi="Times New Roman" w:cs="Times New Roman"/>
          <w:sz w:val="24"/>
          <w:szCs w:val="24"/>
        </w:rPr>
        <w:t>.</w:t>
      </w:r>
      <w:r w:rsidR="009F156E">
        <w:rPr>
          <w:rStyle w:val="FootnoteReference"/>
          <w:rFonts w:ascii="Times New Roman" w:hAnsi="Times New Roman" w:cs="Times New Roman"/>
          <w:sz w:val="24"/>
          <w:szCs w:val="24"/>
        </w:rPr>
        <w:footnoteReference w:id="17"/>
      </w:r>
      <w:r w:rsidR="00B20B23">
        <w:rPr>
          <w:rFonts w:ascii="Times New Roman" w:hAnsi="Times New Roman" w:cs="Times New Roman"/>
          <w:sz w:val="24"/>
          <w:szCs w:val="24"/>
        </w:rPr>
        <w:t xml:space="preserve">  </w:t>
      </w:r>
      <w:r w:rsidR="00A04021">
        <w:rPr>
          <w:rFonts w:ascii="Times New Roman" w:hAnsi="Times New Roman" w:cs="Times New Roman"/>
          <w:sz w:val="24"/>
          <w:szCs w:val="24"/>
        </w:rPr>
        <w:t xml:space="preserve">The magnitudes of the effect are consistent with existing </w:t>
      </w:r>
      <w:r w:rsidR="00883324">
        <w:rPr>
          <w:rFonts w:ascii="Times New Roman" w:hAnsi="Times New Roman" w:cs="Times New Roman"/>
          <w:sz w:val="24"/>
          <w:szCs w:val="24"/>
        </w:rPr>
        <w:t>work</w:t>
      </w:r>
      <w:r w:rsidR="00A04021">
        <w:rPr>
          <w:rFonts w:ascii="Times New Roman" w:hAnsi="Times New Roman" w:cs="Times New Roman"/>
          <w:sz w:val="24"/>
          <w:szCs w:val="24"/>
        </w:rPr>
        <w:t xml:space="preserve"> that find</w:t>
      </w:r>
      <w:r w:rsidR="00883324">
        <w:rPr>
          <w:rFonts w:ascii="Times New Roman" w:hAnsi="Times New Roman" w:cs="Times New Roman"/>
          <w:sz w:val="24"/>
          <w:szCs w:val="24"/>
        </w:rPr>
        <w:t>s</w:t>
      </w:r>
      <w:r w:rsidR="00A04021">
        <w:rPr>
          <w:rFonts w:ascii="Times New Roman" w:hAnsi="Times New Roman" w:cs="Times New Roman"/>
          <w:sz w:val="24"/>
          <w:szCs w:val="24"/>
        </w:rPr>
        <w:t xml:space="preserve"> a small </w:t>
      </w:r>
      <w:r w:rsidR="00754D29">
        <w:rPr>
          <w:rFonts w:ascii="Times New Roman" w:hAnsi="Times New Roman" w:cs="Times New Roman"/>
          <w:sz w:val="24"/>
          <w:szCs w:val="24"/>
        </w:rPr>
        <w:t xml:space="preserve">spillover </w:t>
      </w:r>
      <w:r w:rsidR="00A04021">
        <w:rPr>
          <w:rFonts w:ascii="Times New Roman" w:hAnsi="Times New Roman" w:cs="Times New Roman"/>
          <w:sz w:val="24"/>
          <w:szCs w:val="24"/>
        </w:rPr>
        <w:t>effect of foreclosure</w:t>
      </w:r>
      <w:r w:rsidR="00754D29">
        <w:rPr>
          <w:rFonts w:ascii="Times New Roman" w:hAnsi="Times New Roman" w:cs="Times New Roman"/>
          <w:sz w:val="24"/>
          <w:szCs w:val="24"/>
        </w:rPr>
        <w:t>s</w:t>
      </w:r>
      <w:r w:rsidR="00A04021">
        <w:rPr>
          <w:rFonts w:ascii="Times New Roman" w:hAnsi="Times New Roman" w:cs="Times New Roman"/>
          <w:sz w:val="24"/>
          <w:szCs w:val="24"/>
        </w:rPr>
        <w:t xml:space="preserve"> on the value of </w:t>
      </w:r>
      <w:r w:rsidR="00754D29">
        <w:rPr>
          <w:rFonts w:ascii="Times New Roman" w:hAnsi="Times New Roman" w:cs="Times New Roman"/>
          <w:sz w:val="24"/>
          <w:szCs w:val="24"/>
        </w:rPr>
        <w:t xml:space="preserve">other properties as well as on </w:t>
      </w:r>
      <w:r w:rsidR="00A04021">
        <w:rPr>
          <w:rFonts w:ascii="Times New Roman" w:hAnsi="Times New Roman" w:cs="Times New Roman"/>
          <w:sz w:val="24"/>
          <w:szCs w:val="24"/>
        </w:rPr>
        <w:t>the foreclosed home.</w:t>
      </w:r>
      <w:r w:rsidR="009F31D8">
        <w:rPr>
          <w:rFonts w:ascii="Times New Roman" w:hAnsi="Times New Roman" w:cs="Times New Roman"/>
          <w:sz w:val="24"/>
          <w:szCs w:val="24"/>
        </w:rPr>
        <w:t xml:space="preserve">  Given the median level of foreclosures per 100 housing units </w:t>
      </w:r>
      <w:r w:rsidR="0027217D">
        <w:rPr>
          <w:rFonts w:ascii="Times New Roman" w:hAnsi="Times New Roman" w:cs="Times New Roman"/>
          <w:sz w:val="24"/>
          <w:szCs w:val="24"/>
        </w:rPr>
        <w:t xml:space="preserve">in 2008 and 2009 of about 0.54 and 1.03, respectively, our results suggest a combined effect on </w:t>
      </w:r>
      <w:r w:rsidR="00A27DD8">
        <w:rPr>
          <w:rFonts w:ascii="Times New Roman" w:hAnsi="Times New Roman" w:cs="Times New Roman"/>
          <w:sz w:val="24"/>
          <w:szCs w:val="24"/>
        </w:rPr>
        <w:t xml:space="preserve">the adjusted </w:t>
      </w:r>
      <w:r w:rsidR="0027217D">
        <w:rPr>
          <w:rFonts w:ascii="Times New Roman" w:hAnsi="Times New Roman" w:cs="Times New Roman"/>
          <w:sz w:val="24"/>
          <w:szCs w:val="24"/>
        </w:rPr>
        <w:t>100% digest of about -4.7 percent</w:t>
      </w:r>
      <w:r w:rsidR="00A27DD8">
        <w:rPr>
          <w:rFonts w:ascii="Times New Roman" w:hAnsi="Times New Roman" w:cs="Times New Roman"/>
          <w:sz w:val="24"/>
          <w:szCs w:val="24"/>
        </w:rPr>
        <w:t xml:space="preserve"> in 2010</w:t>
      </w:r>
      <w:r w:rsidR="0027217D">
        <w:rPr>
          <w:rFonts w:ascii="Times New Roman" w:hAnsi="Times New Roman" w:cs="Times New Roman"/>
          <w:sz w:val="24"/>
          <w:szCs w:val="24"/>
        </w:rPr>
        <w:t xml:space="preserve">, all else </w:t>
      </w:r>
      <w:r w:rsidR="001D4719">
        <w:rPr>
          <w:rFonts w:ascii="Times New Roman" w:hAnsi="Times New Roman" w:cs="Times New Roman"/>
          <w:sz w:val="24"/>
          <w:szCs w:val="24"/>
        </w:rPr>
        <w:t xml:space="preserve">held </w:t>
      </w:r>
      <w:r w:rsidR="0027217D">
        <w:rPr>
          <w:rFonts w:ascii="Times New Roman" w:hAnsi="Times New Roman" w:cs="Times New Roman"/>
          <w:sz w:val="24"/>
          <w:szCs w:val="24"/>
        </w:rPr>
        <w:t xml:space="preserve">constant.  The median </w:t>
      </w:r>
      <w:r w:rsidR="00A27DD8">
        <w:rPr>
          <w:rFonts w:ascii="Times New Roman" w:hAnsi="Times New Roman" w:cs="Times New Roman"/>
          <w:sz w:val="24"/>
          <w:szCs w:val="24"/>
        </w:rPr>
        <w:t xml:space="preserve">adjusted </w:t>
      </w:r>
      <w:r w:rsidR="0027217D">
        <w:rPr>
          <w:rFonts w:ascii="Times New Roman" w:hAnsi="Times New Roman" w:cs="Times New Roman"/>
          <w:sz w:val="24"/>
          <w:szCs w:val="24"/>
        </w:rPr>
        <w:t>100% digest change for 2010 was -4.0 percent</w:t>
      </w:r>
      <w:r w:rsidR="001D4719">
        <w:rPr>
          <w:rFonts w:ascii="Times New Roman" w:hAnsi="Times New Roman" w:cs="Times New Roman"/>
          <w:sz w:val="24"/>
          <w:szCs w:val="24"/>
        </w:rPr>
        <w:t xml:space="preserve">, also reflecting offsetting effects of other </w:t>
      </w:r>
      <w:r w:rsidR="0006008F">
        <w:rPr>
          <w:rFonts w:ascii="Times New Roman" w:hAnsi="Times New Roman" w:cs="Times New Roman"/>
          <w:sz w:val="24"/>
          <w:szCs w:val="24"/>
        </w:rPr>
        <w:t xml:space="preserve">observed and unobserved </w:t>
      </w:r>
      <w:r w:rsidR="001D4719">
        <w:rPr>
          <w:rFonts w:ascii="Times New Roman" w:hAnsi="Times New Roman" w:cs="Times New Roman"/>
          <w:sz w:val="24"/>
          <w:szCs w:val="24"/>
        </w:rPr>
        <w:t>factors.</w:t>
      </w:r>
    </w:p>
    <w:p w:rsidR="00883324" w:rsidRDefault="009F156E" w:rsidP="005C137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 channels of foreclosure effects </w:t>
      </w:r>
      <w:r w:rsidR="006928FB">
        <w:rPr>
          <w:rFonts w:ascii="Times New Roman" w:hAnsi="Times New Roman" w:cs="Times New Roman"/>
          <w:sz w:val="24"/>
          <w:szCs w:val="24"/>
        </w:rPr>
        <w:t xml:space="preserve">on property taxes </w:t>
      </w:r>
      <w:r>
        <w:rPr>
          <w:rFonts w:ascii="Times New Roman" w:hAnsi="Times New Roman" w:cs="Times New Roman"/>
          <w:sz w:val="24"/>
          <w:szCs w:val="24"/>
        </w:rPr>
        <w:t>are also possible</w:t>
      </w:r>
      <w:r w:rsidR="00883324">
        <w:rPr>
          <w:rFonts w:ascii="Times New Roman" w:hAnsi="Times New Roman" w:cs="Times New Roman"/>
          <w:sz w:val="24"/>
          <w:szCs w:val="24"/>
        </w:rPr>
        <w:t xml:space="preserve">.  </w:t>
      </w:r>
      <w:r w:rsidR="003D287A">
        <w:rPr>
          <w:rFonts w:ascii="Times New Roman" w:hAnsi="Times New Roman" w:cs="Times New Roman"/>
          <w:sz w:val="24"/>
          <w:szCs w:val="24"/>
        </w:rPr>
        <w:t>The</w:t>
      </w:r>
      <w:r w:rsidR="00902681">
        <w:rPr>
          <w:rFonts w:ascii="Times New Roman" w:hAnsi="Times New Roman" w:cs="Times New Roman"/>
          <w:sz w:val="24"/>
          <w:szCs w:val="24"/>
        </w:rPr>
        <w:t xml:space="preserve"> effect o</w:t>
      </w:r>
      <w:r w:rsidR="003D287A">
        <w:rPr>
          <w:rFonts w:ascii="Times New Roman" w:hAnsi="Times New Roman" w:cs="Times New Roman"/>
          <w:sz w:val="24"/>
          <w:szCs w:val="24"/>
        </w:rPr>
        <w:t xml:space="preserve">f changes in </w:t>
      </w:r>
      <w:r w:rsidR="00902681">
        <w:rPr>
          <w:rFonts w:ascii="Times New Roman" w:hAnsi="Times New Roman" w:cs="Times New Roman"/>
          <w:sz w:val="24"/>
          <w:szCs w:val="24"/>
        </w:rPr>
        <w:t xml:space="preserve">property </w:t>
      </w:r>
      <w:r w:rsidR="00235FCE">
        <w:rPr>
          <w:rFonts w:ascii="Times New Roman" w:hAnsi="Times New Roman" w:cs="Times New Roman"/>
          <w:sz w:val="24"/>
          <w:szCs w:val="24"/>
        </w:rPr>
        <w:t xml:space="preserve">market </w:t>
      </w:r>
      <w:r>
        <w:rPr>
          <w:rFonts w:ascii="Times New Roman" w:hAnsi="Times New Roman" w:cs="Times New Roman"/>
          <w:sz w:val="24"/>
          <w:szCs w:val="24"/>
        </w:rPr>
        <w:t xml:space="preserve">values should </w:t>
      </w:r>
      <w:r w:rsidR="00AE1A1A">
        <w:rPr>
          <w:rFonts w:ascii="Times New Roman" w:hAnsi="Times New Roman" w:cs="Times New Roman"/>
          <w:sz w:val="24"/>
          <w:szCs w:val="24"/>
        </w:rPr>
        <w:t xml:space="preserve">be reflected in the </w:t>
      </w:r>
      <w:r w:rsidR="00902681">
        <w:rPr>
          <w:rFonts w:ascii="Times New Roman" w:hAnsi="Times New Roman" w:cs="Times New Roman"/>
          <w:sz w:val="24"/>
          <w:szCs w:val="24"/>
        </w:rPr>
        <w:t xml:space="preserve">tax </w:t>
      </w:r>
      <w:r w:rsidR="00AE1A1A">
        <w:rPr>
          <w:rFonts w:ascii="Times New Roman" w:hAnsi="Times New Roman" w:cs="Times New Roman"/>
          <w:sz w:val="24"/>
          <w:szCs w:val="24"/>
        </w:rPr>
        <w:t>base (</w:t>
      </w:r>
      <w:r w:rsidR="00474AAB">
        <w:rPr>
          <w:rFonts w:ascii="Times New Roman" w:hAnsi="Times New Roman" w:cs="Times New Roman"/>
          <w:sz w:val="24"/>
          <w:szCs w:val="24"/>
        </w:rPr>
        <w:t>i.</w:t>
      </w:r>
      <w:r>
        <w:rPr>
          <w:rFonts w:ascii="Times New Roman" w:hAnsi="Times New Roman" w:cs="Times New Roman"/>
          <w:sz w:val="24"/>
          <w:szCs w:val="24"/>
        </w:rPr>
        <w:t xml:space="preserve">e., </w:t>
      </w:r>
      <w:r w:rsidR="00AE1A1A">
        <w:rPr>
          <w:rFonts w:ascii="Times New Roman" w:hAnsi="Times New Roman" w:cs="Times New Roman"/>
          <w:sz w:val="24"/>
          <w:szCs w:val="24"/>
        </w:rPr>
        <w:t>the net digest)</w:t>
      </w:r>
      <w:r w:rsidR="003D287A">
        <w:rPr>
          <w:rFonts w:ascii="Times New Roman" w:hAnsi="Times New Roman" w:cs="Times New Roman"/>
          <w:sz w:val="24"/>
          <w:szCs w:val="24"/>
        </w:rPr>
        <w:t xml:space="preserve"> and thus the property tax levy</w:t>
      </w:r>
      <w:r w:rsidR="00AE1A1A">
        <w:rPr>
          <w:rFonts w:ascii="Times New Roman" w:hAnsi="Times New Roman" w:cs="Times New Roman"/>
          <w:sz w:val="24"/>
          <w:szCs w:val="24"/>
        </w:rPr>
        <w:t xml:space="preserve">, </w:t>
      </w:r>
      <w:r w:rsidR="003D287A">
        <w:rPr>
          <w:rFonts w:ascii="Times New Roman" w:hAnsi="Times New Roman" w:cs="Times New Roman"/>
          <w:sz w:val="24"/>
          <w:szCs w:val="24"/>
        </w:rPr>
        <w:t xml:space="preserve">but with an expected </w:t>
      </w:r>
      <w:r w:rsidR="00AE1A1A">
        <w:rPr>
          <w:rFonts w:ascii="Times New Roman" w:hAnsi="Times New Roman" w:cs="Times New Roman"/>
          <w:sz w:val="24"/>
          <w:szCs w:val="24"/>
        </w:rPr>
        <w:t>lag</w:t>
      </w:r>
      <w:r>
        <w:rPr>
          <w:rFonts w:ascii="Times New Roman" w:hAnsi="Times New Roman" w:cs="Times New Roman"/>
          <w:sz w:val="24"/>
          <w:szCs w:val="24"/>
        </w:rPr>
        <w:t xml:space="preserve">.  </w:t>
      </w:r>
      <w:r w:rsidR="003D287A">
        <w:rPr>
          <w:rFonts w:ascii="Times New Roman" w:hAnsi="Times New Roman" w:cs="Times New Roman"/>
          <w:sz w:val="24"/>
          <w:szCs w:val="24"/>
        </w:rPr>
        <w:t xml:space="preserve">A </w:t>
      </w:r>
      <w:r>
        <w:rPr>
          <w:rFonts w:ascii="Times New Roman" w:hAnsi="Times New Roman" w:cs="Times New Roman"/>
          <w:sz w:val="24"/>
          <w:szCs w:val="24"/>
        </w:rPr>
        <w:t xml:space="preserve">change in property market values </w:t>
      </w:r>
      <w:r w:rsidR="00AE1A1A">
        <w:rPr>
          <w:rFonts w:ascii="Times New Roman" w:hAnsi="Times New Roman" w:cs="Times New Roman"/>
          <w:sz w:val="24"/>
          <w:szCs w:val="24"/>
        </w:rPr>
        <w:t xml:space="preserve">would not necessarily </w:t>
      </w:r>
      <w:r w:rsidR="003D287A">
        <w:rPr>
          <w:rFonts w:ascii="Times New Roman" w:hAnsi="Times New Roman" w:cs="Times New Roman"/>
          <w:sz w:val="24"/>
          <w:szCs w:val="24"/>
        </w:rPr>
        <w:t>lead to a change in the property tax levy since the</w:t>
      </w:r>
      <w:r>
        <w:rPr>
          <w:rFonts w:ascii="Times New Roman" w:hAnsi="Times New Roman" w:cs="Times New Roman"/>
          <w:sz w:val="24"/>
          <w:szCs w:val="24"/>
        </w:rPr>
        <w:t xml:space="preserve"> </w:t>
      </w:r>
      <w:r w:rsidR="00AE1A1A">
        <w:rPr>
          <w:rFonts w:ascii="Times New Roman" w:hAnsi="Times New Roman" w:cs="Times New Roman"/>
          <w:sz w:val="24"/>
          <w:szCs w:val="24"/>
        </w:rPr>
        <w:t xml:space="preserve">local governments may </w:t>
      </w:r>
      <w:r w:rsidR="003D287A">
        <w:rPr>
          <w:rFonts w:ascii="Times New Roman" w:hAnsi="Times New Roman" w:cs="Times New Roman"/>
          <w:sz w:val="24"/>
          <w:szCs w:val="24"/>
        </w:rPr>
        <w:t>change</w:t>
      </w:r>
      <w:r w:rsidR="00AE1A1A">
        <w:rPr>
          <w:rFonts w:ascii="Times New Roman" w:hAnsi="Times New Roman" w:cs="Times New Roman"/>
          <w:sz w:val="24"/>
          <w:szCs w:val="24"/>
        </w:rPr>
        <w:t xml:space="preserve"> millage rates to maintain the levy.</w:t>
      </w:r>
      <w:r w:rsidR="00503992">
        <w:rPr>
          <w:rFonts w:ascii="Times New Roman" w:hAnsi="Times New Roman" w:cs="Times New Roman"/>
          <w:sz w:val="24"/>
          <w:szCs w:val="24"/>
        </w:rPr>
        <w:t xml:space="preserve">  </w:t>
      </w:r>
      <w:r>
        <w:rPr>
          <w:rFonts w:ascii="Times New Roman" w:hAnsi="Times New Roman" w:cs="Times New Roman"/>
          <w:sz w:val="24"/>
          <w:szCs w:val="24"/>
        </w:rPr>
        <w:t xml:space="preserve">Ross and Yan (2011) </w:t>
      </w:r>
      <w:r w:rsidR="00503992">
        <w:rPr>
          <w:rFonts w:ascii="Times New Roman" w:hAnsi="Times New Roman" w:cs="Times New Roman"/>
          <w:sz w:val="24"/>
          <w:szCs w:val="24"/>
        </w:rPr>
        <w:t>suggest that governments set the levy as necessary to fund planned expenditures, which are determined by demands for public expenditures</w:t>
      </w:r>
      <w:r>
        <w:rPr>
          <w:rFonts w:ascii="Times New Roman" w:hAnsi="Times New Roman" w:cs="Times New Roman"/>
          <w:sz w:val="24"/>
          <w:szCs w:val="24"/>
        </w:rPr>
        <w:t xml:space="preserve">; </w:t>
      </w:r>
      <w:r w:rsidR="00503992">
        <w:rPr>
          <w:rFonts w:ascii="Times New Roman" w:hAnsi="Times New Roman" w:cs="Times New Roman"/>
          <w:sz w:val="24"/>
          <w:szCs w:val="24"/>
        </w:rPr>
        <w:t xml:space="preserve">once the total </w:t>
      </w:r>
      <w:r w:rsidR="003D287A">
        <w:rPr>
          <w:rFonts w:ascii="Times New Roman" w:hAnsi="Times New Roman" w:cs="Times New Roman"/>
          <w:sz w:val="24"/>
          <w:szCs w:val="24"/>
        </w:rPr>
        <w:lastRenderedPageBreak/>
        <w:t>taxable values are</w:t>
      </w:r>
      <w:r w:rsidR="00503992">
        <w:rPr>
          <w:rFonts w:ascii="Times New Roman" w:hAnsi="Times New Roman" w:cs="Times New Roman"/>
          <w:sz w:val="24"/>
          <w:szCs w:val="24"/>
        </w:rPr>
        <w:t xml:space="preserve"> known, millage rates are </w:t>
      </w:r>
      <w:r>
        <w:rPr>
          <w:rFonts w:ascii="Times New Roman" w:hAnsi="Times New Roman" w:cs="Times New Roman"/>
          <w:sz w:val="24"/>
          <w:szCs w:val="24"/>
        </w:rPr>
        <w:t xml:space="preserve">then </w:t>
      </w:r>
      <w:r w:rsidR="00503992">
        <w:rPr>
          <w:rFonts w:ascii="Times New Roman" w:hAnsi="Times New Roman" w:cs="Times New Roman"/>
          <w:sz w:val="24"/>
          <w:szCs w:val="24"/>
        </w:rPr>
        <w:t xml:space="preserve">determined as a residual.  If this </w:t>
      </w:r>
      <w:r>
        <w:rPr>
          <w:rFonts w:ascii="Times New Roman" w:hAnsi="Times New Roman" w:cs="Times New Roman"/>
          <w:sz w:val="24"/>
          <w:szCs w:val="24"/>
        </w:rPr>
        <w:t xml:space="preserve">description is accurate, </w:t>
      </w:r>
      <w:r w:rsidR="000C14AA">
        <w:rPr>
          <w:rFonts w:ascii="Times New Roman" w:hAnsi="Times New Roman" w:cs="Times New Roman"/>
          <w:sz w:val="24"/>
          <w:szCs w:val="24"/>
        </w:rPr>
        <w:t>the</w:t>
      </w:r>
      <w:r>
        <w:rPr>
          <w:rFonts w:ascii="Times New Roman" w:hAnsi="Times New Roman" w:cs="Times New Roman"/>
          <w:sz w:val="24"/>
          <w:szCs w:val="24"/>
        </w:rPr>
        <w:t>n the</w:t>
      </w:r>
      <w:r w:rsidR="000C14AA">
        <w:rPr>
          <w:rFonts w:ascii="Times New Roman" w:hAnsi="Times New Roman" w:cs="Times New Roman"/>
          <w:sz w:val="24"/>
          <w:szCs w:val="24"/>
        </w:rPr>
        <w:t xml:space="preserve"> levy would not </w:t>
      </w:r>
      <w:r w:rsidR="00474AAB">
        <w:rPr>
          <w:rFonts w:ascii="Times New Roman" w:hAnsi="Times New Roman" w:cs="Times New Roman"/>
          <w:sz w:val="24"/>
          <w:szCs w:val="24"/>
        </w:rPr>
        <w:t xml:space="preserve">be expected to respond </w:t>
      </w:r>
      <w:r w:rsidR="005B111F">
        <w:rPr>
          <w:rFonts w:ascii="Times New Roman" w:hAnsi="Times New Roman" w:cs="Times New Roman"/>
          <w:sz w:val="24"/>
          <w:szCs w:val="24"/>
        </w:rPr>
        <w:t xml:space="preserve">directly </w:t>
      </w:r>
      <w:r w:rsidR="00474AAB">
        <w:rPr>
          <w:rFonts w:ascii="Times New Roman" w:hAnsi="Times New Roman" w:cs="Times New Roman"/>
          <w:sz w:val="24"/>
          <w:szCs w:val="24"/>
        </w:rPr>
        <w:t>to</w:t>
      </w:r>
      <w:r w:rsidR="000C14AA">
        <w:rPr>
          <w:rFonts w:ascii="Times New Roman" w:hAnsi="Times New Roman" w:cs="Times New Roman"/>
          <w:sz w:val="24"/>
          <w:szCs w:val="24"/>
        </w:rPr>
        <w:t xml:space="preserve"> </w:t>
      </w:r>
      <w:r>
        <w:rPr>
          <w:rFonts w:ascii="Times New Roman" w:hAnsi="Times New Roman" w:cs="Times New Roman"/>
          <w:sz w:val="24"/>
          <w:szCs w:val="24"/>
        </w:rPr>
        <w:t>any</w:t>
      </w:r>
      <w:r w:rsidR="000C14AA">
        <w:rPr>
          <w:rFonts w:ascii="Times New Roman" w:hAnsi="Times New Roman" w:cs="Times New Roman"/>
          <w:sz w:val="24"/>
          <w:szCs w:val="24"/>
        </w:rPr>
        <w:t xml:space="preserve"> impact </w:t>
      </w:r>
      <w:r>
        <w:rPr>
          <w:rFonts w:ascii="Times New Roman" w:hAnsi="Times New Roman" w:cs="Times New Roman"/>
          <w:sz w:val="24"/>
          <w:szCs w:val="24"/>
        </w:rPr>
        <w:t>that f</w:t>
      </w:r>
      <w:r w:rsidR="000C14AA">
        <w:rPr>
          <w:rFonts w:ascii="Times New Roman" w:hAnsi="Times New Roman" w:cs="Times New Roman"/>
          <w:sz w:val="24"/>
          <w:szCs w:val="24"/>
        </w:rPr>
        <w:t xml:space="preserve">oreclosures may have on property values.  However, there may be a wealth effect of changes in property values on demands for public expenditures and thus an indirect effect of foreclosures on the levy.  </w:t>
      </w:r>
      <w:r w:rsidR="003D287A">
        <w:rPr>
          <w:rFonts w:ascii="Times New Roman" w:hAnsi="Times New Roman" w:cs="Times New Roman"/>
          <w:sz w:val="24"/>
          <w:szCs w:val="24"/>
        </w:rPr>
        <w:t xml:space="preserve">Property tax revenue will differ from the property tax levy </w:t>
      </w:r>
      <w:r w:rsidR="00883324">
        <w:rPr>
          <w:rFonts w:ascii="Times New Roman" w:hAnsi="Times New Roman" w:cs="Times New Roman"/>
          <w:sz w:val="24"/>
          <w:szCs w:val="24"/>
        </w:rPr>
        <w:t>by the collection rate.</w:t>
      </w:r>
    </w:p>
    <w:p w:rsidR="00516887" w:rsidRDefault="000C14AA" w:rsidP="005C137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therefore estimate regressions of the </w:t>
      </w:r>
      <w:r w:rsidR="00E073D7">
        <w:rPr>
          <w:rFonts w:ascii="Times New Roman" w:hAnsi="Times New Roman" w:cs="Times New Roman"/>
          <w:sz w:val="24"/>
          <w:szCs w:val="24"/>
        </w:rPr>
        <w:t xml:space="preserve">change in the </w:t>
      </w:r>
      <w:r>
        <w:rPr>
          <w:rFonts w:ascii="Times New Roman" w:hAnsi="Times New Roman" w:cs="Times New Roman"/>
          <w:sz w:val="24"/>
          <w:szCs w:val="24"/>
        </w:rPr>
        <w:t>property tax levy (</w:t>
      </w:r>
      <w:r w:rsidRPr="00982FF0">
        <w:rPr>
          <w:rFonts w:ascii="Times New Roman" w:hAnsi="Times New Roman" w:cs="Times New Roman"/>
          <w:sz w:val="24"/>
          <w:szCs w:val="24"/>
        </w:rPr>
        <w:t xml:space="preserve">Table </w:t>
      </w:r>
      <w:r w:rsidR="00497E15" w:rsidRPr="006928FB">
        <w:rPr>
          <w:rFonts w:ascii="Times New Roman" w:hAnsi="Times New Roman" w:cs="Times New Roman"/>
          <w:sz w:val="24"/>
          <w:szCs w:val="24"/>
        </w:rPr>
        <w:t>5</w:t>
      </w:r>
      <w:r>
        <w:rPr>
          <w:rFonts w:ascii="Times New Roman" w:hAnsi="Times New Roman" w:cs="Times New Roman"/>
          <w:sz w:val="24"/>
          <w:szCs w:val="24"/>
        </w:rPr>
        <w:t>) and of property tax revenues (</w:t>
      </w:r>
      <w:r w:rsidRPr="00982FF0">
        <w:rPr>
          <w:rFonts w:ascii="Times New Roman" w:hAnsi="Times New Roman" w:cs="Times New Roman"/>
          <w:sz w:val="24"/>
          <w:szCs w:val="24"/>
        </w:rPr>
        <w:t xml:space="preserve">Table </w:t>
      </w:r>
      <w:r w:rsidR="00497E15" w:rsidRPr="006928FB">
        <w:rPr>
          <w:rFonts w:ascii="Times New Roman" w:hAnsi="Times New Roman" w:cs="Times New Roman"/>
          <w:sz w:val="24"/>
          <w:szCs w:val="24"/>
        </w:rPr>
        <w:t>6</w:t>
      </w:r>
      <w:r>
        <w:rPr>
          <w:rFonts w:ascii="Times New Roman" w:hAnsi="Times New Roman" w:cs="Times New Roman"/>
          <w:sz w:val="24"/>
          <w:szCs w:val="24"/>
        </w:rPr>
        <w:t xml:space="preserve">) </w:t>
      </w:r>
      <w:r w:rsidR="009F156E">
        <w:rPr>
          <w:rFonts w:ascii="Times New Roman" w:hAnsi="Times New Roman" w:cs="Times New Roman"/>
          <w:sz w:val="24"/>
          <w:szCs w:val="24"/>
        </w:rPr>
        <w:t>on foreclosure activity measures</w:t>
      </w:r>
      <w:r w:rsidR="000F3C52">
        <w:rPr>
          <w:rFonts w:ascii="Times New Roman" w:hAnsi="Times New Roman" w:cs="Times New Roman"/>
          <w:sz w:val="24"/>
          <w:szCs w:val="24"/>
        </w:rPr>
        <w:t xml:space="preserve"> and</w:t>
      </w:r>
      <w:r>
        <w:rPr>
          <w:rFonts w:ascii="Times New Roman" w:hAnsi="Times New Roman" w:cs="Times New Roman"/>
          <w:sz w:val="24"/>
          <w:szCs w:val="24"/>
        </w:rPr>
        <w:t xml:space="preserve"> income</w:t>
      </w:r>
      <w:r w:rsidR="009F156E">
        <w:rPr>
          <w:rFonts w:ascii="Times New Roman" w:hAnsi="Times New Roman" w:cs="Times New Roman"/>
          <w:sz w:val="24"/>
          <w:szCs w:val="24"/>
        </w:rPr>
        <w:t>,</w:t>
      </w:r>
      <w:r w:rsidR="008A6179">
        <w:rPr>
          <w:rFonts w:ascii="Times New Roman" w:hAnsi="Times New Roman" w:cs="Times New Roman"/>
          <w:sz w:val="24"/>
          <w:szCs w:val="24"/>
        </w:rPr>
        <w:t xml:space="preserve"> population</w:t>
      </w:r>
      <w:r>
        <w:rPr>
          <w:rFonts w:ascii="Times New Roman" w:hAnsi="Times New Roman" w:cs="Times New Roman"/>
          <w:sz w:val="24"/>
          <w:szCs w:val="24"/>
        </w:rPr>
        <w:t xml:space="preserve">, </w:t>
      </w:r>
      <w:r w:rsidR="009F156E">
        <w:rPr>
          <w:rFonts w:ascii="Times New Roman" w:hAnsi="Times New Roman" w:cs="Times New Roman"/>
          <w:sz w:val="24"/>
          <w:szCs w:val="24"/>
        </w:rPr>
        <w:t xml:space="preserve">and </w:t>
      </w:r>
      <w:r w:rsidR="000F3C52">
        <w:rPr>
          <w:rFonts w:ascii="Times New Roman" w:hAnsi="Times New Roman" w:cs="Times New Roman"/>
          <w:sz w:val="24"/>
          <w:szCs w:val="24"/>
        </w:rPr>
        <w:t>employment growth</w:t>
      </w:r>
      <w:r w:rsidR="003E513D">
        <w:rPr>
          <w:rFonts w:ascii="Times New Roman" w:hAnsi="Times New Roman" w:cs="Times New Roman"/>
          <w:sz w:val="24"/>
          <w:szCs w:val="24"/>
        </w:rPr>
        <w:t>,</w:t>
      </w:r>
      <w:r w:rsidR="00423EA5">
        <w:rPr>
          <w:rFonts w:ascii="Times New Roman" w:hAnsi="Times New Roman" w:cs="Times New Roman"/>
          <w:sz w:val="24"/>
          <w:szCs w:val="24"/>
        </w:rPr>
        <w:t xml:space="preserve"> </w:t>
      </w:r>
      <w:r w:rsidR="000F3C52">
        <w:rPr>
          <w:rFonts w:ascii="Times New Roman" w:hAnsi="Times New Roman" w:cs="Times New Roman"/>
          <w:sz w:val="24"/>
          <w:szCs w:val="24"/>
        </w:rPr>
        <w:t>as well as</w:t>
      </w:r>
      <w:r w:rsidR="00403083">
        <w:rPr>
          <w:rFonts w:ascii="Times New Roman" w:hAnsi="Times New Roman" w:cs="Times New Roman"/>
          <w:sz w:val="24"/>
          <w:szCs w:val="24"/>
        </w:rPr>
        <w:t xml:space="preserve"> either </w:t>
      </w:r>
      <w:r>
        <w:rPr>
          <w:rFonts w:ascii="Times New Roman" w:hAnsi="Times New Roman" w:cs="Times New Roman"/>
          <w:sz w:val="24"/>
          <w:szCs w:val="24"/>
        </w:rPr>
        <w:t xml:space="preserve">the </w:t>
      </w:r>
      <w:r w:rsidR="00403083">
        <w:rPr>
          <w:rFonts w:ascii="Times New Roman" w:hAnsi="Times New Roman" w:cs="Times New Roman"/>
          <w:sz w:val="24"/>
          <w:szCs w:val="24"/>
        </w:rPr>
        <w:t xml:space="preserve">adjusted 100% </w:t>
      </w:r>
      <w:r w:rsidR="006928FB">
        <w:rPr>
          <w:rFonts w:ascii="Times New Roman" w:hAnsi="Times New Roman" w:cs="Times New Roman"/>
          <w:sz w:val="24"/>
          <w:szCs w:val="24"/>
        </w:rPr>
        <w:t xml:space="preserve">digest in regressions for Table 5 </w:t>
      </w:r>
      <w:r w:rsidR="00364011">
        <w:rPr>
          <w:rFonts w:ascii="Times New Roman" w:hAnsi="Times New Roman" w:cs="Times New Roman"/>
          <w:sz w:val="24"/>
          <w:szCs w:val="24"/>
        </w:rPr>
        <w:t xml:space="preserve">or </w:t>
      </w:r>
      <w:r w:rsidR="003E513D">
        <w:rPr>
          <w:rFonts w:ascii="Times New Roman" w:hAnsi="Times New Roman" w:cs="Times New Roman"/>
          <w:sz w:val="24"/>
          <w:szCs w:val="24"/>
        </w:rPr>
        <w:t xml:space="preserve">the </w:t>
      </w:r>
      <w:r>
        <w:rPr>
          <w:rFonts w:ascii="Times New Roman" w:hAnsi="Times New Roman" w:cs="Times New Roman"/>
          <w:sz w:val="24"/>
          <w:szCs w:val="24"/>
        </w:rPr>
        <w:t>net digest</w:t>
      </w:r>
      <w:r w:rsidR="006928FB">
        <w:rPr>
          <w:rFonts w:ascii="Times New Roman" w:hAnsi="Times New Roman" w:cs="Times New Roman"/>
          <w:sz w:val="24"/>
          <w:szCs w:val="24"/>
        </w:rPr>
        <w:t xml:space="preserve"> for the regressions in Table 6</w:t>
      </w:r>
      <w:r w:rsidR="00403083">
        <w:rPr>
          <w:rFonts w:ascii="Times New Roman" w:hAnsi="Times New Roman" w:cs="Times New Roman"/>
          <w:sz w:val="24"/>
          <w:szCs w:val="24"/>
        </w:rPr>
        <w:t>.</w:t>
      </w:r>
      <w:r w:rsidR="006928FB">
        <w:rPr>
          <w:rFonts w:ascii="Times New Roman" w:hAnsi="Times New Roman" w:cs="Times New Roman"/>
          <w:sz w:val="24"/>
          <w:szCs w:val="24"/>
        </w:rPr>
        <w:t xml:space="preserve"> </w:t>
      </w:r>
      <w:r w:rsidR="00931E5A">
        <w:rPr>
          <w:rFonts w:ascii="Times New Roman" w:hAnsi="Times New Roman" w:cs="Times New Roman"/>
          <w:sz w:val="24"/>
          <w:szCs w:val="24"/>
        </w:rPr>
        <w:t xml:space="preserve">We use the </w:t>
      </w:r>
      <w:r w:rsidR="008A6179">
        <w:rPr>
          <w:rFonts w:ascii="Times New Roman" w:hAnsi="Times New Roman" w:cs="Times New Roman"/>
          <w:sz w:val="24"/>
          <w:szCs w:val="24"/>
        </w:rPr>
        <w:t xml:space="preserve">adjusted </w:t>
      </w:r>
      <w:r w:rsidR="00931E5A">
        <w:rPr>
          <w:rFonts w:ascii="Times New Roman" w:hAnsi="Times New Roman" w:cs="Times New Roman"/>
          <w:sz w:val="24"/>
          <w:szCs w:val="24"/>
        </w:rPr>
        <w:t>100% digest in the Table 5 regressions since the mechanism we posit for how foreclosures effect property taxes is through the</w:t>
      </w:r>
      <w:r w:rsidR="008A6179">
        <w:rPr>
          <w:rFonts w:ascii="Times New Roman" w:hAnsi="Times New Roman" w:cs="Times New Roman"/>
          <w:sz w:val="24"/>
          <w:szCs w:val="24"/>
        </w:rPr>
        <w:t>ir</w:t>
      </w:r>
      <w:r w:rsidR="00931E5A">
        <w:rPr>
          <w:rFonts w:ascii="Times New Roman" w:hAnsi="Times New Roman" w:cs="Times New Roman"/>
          <w:sz w:val="24"/>
          <w:szCs w:val="24"/>
        </w:rPr>
        <w:t xml:space="preserve"> effect on property value, as measured by the </w:t>
      </w:r>
      <w:r w:rsidR="008A6179">
        <w:rPr>
          <w:rFonts w:ascii="Times New Roman" w:hAnsi="Times New Roman" w:cs="Times New Roman"/>
          <w:sz w:val="24"/>
          <w:szCs w:val="24"/>
        </w:rPr>
        <w:t xml:space="preserve">adjusted </w:t>
      </w:r>
      <w:r w:rsidR="00931E5A">
        <w:rPr>
          <w:rFonts w:ascii="Times New Roman" w:hAnsi="Times New Roman" w:cs="Times New Roman"/>
          <w:sz w:val="24"/>
          <w:szCs w:val="24"/>
        </w:rPr>
        <w:t>100% digest</w:t>
      </w:r>
      <w:r w:rsidR="007D53C1">
        <w:rPr>
          <w:rFonts w:ascii="Times New Roman" w:hAnsi="Times New Roman" w:cs="Times New Roman"/>
          <w:sz w:val="24"/>
          <w:szCs w:val="24"/>
        </w:rPr>
        <w:t>; we use the net digest in Table 6 because it is the measure of the official property tax base.</w:t>
      </w:r>
      <w:r w:rsidR="00931E5A">
        <w:rPr>
          <w:rFonts w:ascii="Times New Roman" w:hAnsi="Times New Roman" w:cs="Times New Roman"/>
          <w:sz w:val="24"/>
          <w:szCs w:val="24"/>
        </w:rPr>
        <w:t xml:space="preserve">  Since market value changes reflect the effect of foreclosures</w:t>
      </w:r>
      <w:r w:rsidR="008A6179">
        <w:rPr>
          <w:rFonts w:ascii="Times New Roman" w:hAnsi="Times New Roman" w:cs="Times New Roman"/>
          <w:sz w:val="24"/>
          <w:szCs w:val="24"/>
        </w:rPr>
        <w:t>,</w:t>
      </w:r>
      <w:r w:rsidR="00931E5A">
        <w:rPr>
          <w:rFonts w:ascii="Times New Roman" w:hAnsi="Times New Roman" w:cs="Times New Roman"/>
          <w:sz w:val="24"/>
          <w:szCs w:val="24"/>
        </w:rPr>
        <w:t xml:space="preserve"> we include foreclosures in the regressions to determine whether foreclosures have an additional effect on property taxes beyond their effect through changes in property values.</w:t>
      </w:r>
    </w:p>
    <w:p w:rsidR="000C14AA" w:rsidRDefault="00E073D7" w:rsidP="005C137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three regression</w:t>
      </w:r>
      <w:r w:rsidR="00364011">
        <w:rPr>
          <w:rFonts w:ascii="Times New Roman" w:hAnsi="Times New Roman" w:cs="Times New Roman"/>
          <w:sz w:val="24"/>
          <w:szCs w:val="24"/>
        </w:rPr>
        <w:t>s</w:t>
      </w:r>
      <w:r>
        <w:rPr>
          <w:rFonts w:ascii="Times New Roman" w:hAnsi="Times New Roman" w:cs="Times New Roman"/>
          <w:sz w:val="24"/>
          <w:szCs w:val="24"/>
        </w:rPr>
        <w:t xml:space="preserve"> in </w:t>
      </w:r>
      <w:r w:rsidR="007864BC">
        <w:rPr>
          <w:rFonts w:ascii="Times New Roman" w:hAnsi="Times New Roman" w:cs="Times New Roman"/>
          <w:sz w:val="24"/>
          <w:szCs w:val="24"/>
        </w:rPr>
        <w:t xml:space="preserve">Table </w:t>
      </w:r>
      <w:r w:rsidR="00497E15">
        <w:rPr>
          <w:rFonts w:ascii="Times New Roman" w:hAnsi="Times New Roman" w:cs="Times New Roman"/>
          <w:sz w:val="24"/>
          <w:szCs w:val="24"/>
        </w:rPr>
        <w:t xml:space="preserve">5 </w:t>
      </w:r>
      <w:r>
        <w:rPr>
          <w:rFonts w:ascii="Times New Roman" w:hAnsi="Times New Roman" w:cs="Times New Roman"/>
          <w:sz w:val="24"/>
          <w:szCs w:val="24"/>
        </w:rPr>
        <w:t xml:space="preserve">do not include foreclosures. </w:t>
      </w:r>
      <w:r w:rsidR="007864BC">
        <w:rPr>
          <w:rFonts w:ascii="Times New Roman" w:hAnsi="Times New Roman" w:cs="Times New Roman"/>
          <w:sz w:val="24"/>
          <w:szCs w:val="24"/>
        </w:rPr>
        <w:t xml:space="preserve"> </w:t>
      </w:r>
      <w:r w:rsidR="00B51004">
        <w:rPr>
          <w:rFonts w:ascii="Times New Roman" w:hAnsi="Times New Roman" w:cs="Times New Roman"/>
          <w:sz w:val="24"/>
          <w:szCs w:val="24"/>
        </w:rPr>
        <w:t>We include the 100% digest per capita in current and one- and two-year lag values</w:t>
      </w:r>
      <w:r w:rsidR="009624B5">
        <w:rPr>
          <w:rFonts w:ascii="Times New Roman" w:hAnsi="Times New Roman" w:cs="Times New Roman"/>
          <w:sz w:val="24"/>
          <w:szCs w:val="24"/>
        </w:rPr>
        <w:t>,</w:t>
      </w:r>
      <w:r w:rsidR="006928FB">
        <w:rPr>
          <w:rFonts w:ascii="Times New Roman" w:hAnsi="Times New Roman" w:cs="Times New Roman"/>
          <w:sz w:val="24"/>
          <w:szCs w:val="24"/>
        </w:rPr>
        <w:t xml:space="preserve"> </w:t>
      </w:r>
      <w:r w:rsidR="00B51004">
        <w:rPr>
          <w:rFonts w:ascii="Times New Roman" w:hAnsi="Times New Roman" w:cs="Times New Roman"/>
          <w:sz w:val="24"/>
          <w:szCs w:val="24"/>
        </w:rPr>
        <w:t xml:space="preserve">and obtain positive coefficients, although the two-year lag is statistically significant (marginally) </w:t>
      </w:r>
      <w:r w:rsidR="009624B5">
        <w:rPr>
          <w:rFonts w:ascii="Times New Roman" w:hAnsi="Times New Roman" w:cs="Times New Roman"/>
          <w:sz w:val="24"/>
          <w:szCs w:val="24"/>
        </w:rPr>
        <w:t xml:space="preserve">only </w:t>
      </w:r>
      <w:r w:rsidR="00B51004">
        <w:rPr>
          <w:rFonts w:ascii="Times New Roman" w:hAnsi="Times New Roman" w:cs="Times New Roman"/>
          <w:sz w:val="24"/>
          <w:szCs w:val="24"/>
        </w:rPr>
        <w:t xml:space="preserve">when the change in employment is included.  The </w:t>
      </w:r>
      <w:r w:rsidR="007864BC">
        <w:rPr>
          <w:rFonts w:ascii="Times New Roman" w:hAnsi="Times New Roman" w:cs="Times New Roman"/>
          <w:sz w:val="24"/>
          <w:szCs w:val="24"/>
        </w:rPr>
        <w:t>results</w:t>
      </w:r>
      <w:r w:rsidR="00B51004">
        <w:rPr>
          <w:rFonts w:ascii="Times New Roman" w:hAnsi="Times New Roman" w:cs="Times New Roman"/>
          <w:sz w:val="24"/>
          <w:szCs w:val="24"/>
        </w:rPr>
        <w:t xml:space="preserve"> when we include foreclosures</w:t>
      </w:r>
      <w:r w:rsidR="007864BC">
        <w:rPr>
          <w:rFonts w:ascii="Times New Roman" w:hAnsi="Times New Roman" w:cs="Times New Roman"/>
          <w:sz w:val="24"/>
          <w:szCs w:val="24"/>
        </w:rPr>
        <w:t xml:space="preserve"> suggest that, </w:t>
      </w:r>
      <w:r w:rsidR="00894B66">
        <w:rPr>
          <w:rFonts w:ascii="Times New Roman" w:hAnsi="Times New Roman" w:cs="Times New Roman"/>
          <w:sz w:val="24"/>
          <w:szCs w:val="24"/>
        </w:rPr>
        <w:t xml:space="preserve">even </w:t>
      </w:r>
      <w:r w:rsidR="009F156E">
        <w:rPr>
          <w:rFonts w:ascii="Times New Roman" w:hAnsi="Times New Roman" w:cs="Times New Roman"/>
          <w:sz w:val="24"/>
          <w:szCs w:val="24"/>
        </w:rPr>
        <w:t xml:space="preserve">after </w:t>
      </w:r>
      <w:r w:rsidR="007864BC">
        <w:rPr>
          <w:rFonts w:ascii="Times New Roman" w:hAnsi="Times New Roman" w:cs="Times New Roman"/>
          <w:sz w:val="24"/>
          <w:szCs w:val="24"/>
        </w:rPr>
        <w:t>controlling for property value</w:t>
      </w:r>
      <w:r w:rsidR="00A758F7">
        <w:rPr>
          <w:rFonts w:ascii="Times New Roman" w:hAnsi="Times New Roman" w:cs="Times New Roman"/>
          <w:sz w:val="24"/>
          <w:szCs w:val="24"/>
        </w:rPr>
        <w:t>s (in addition to</w:t>
      </w:r>
      <w:r w:rsidR="007864BC">
        <w:rPr>
          <w:rFonts w:ascii="Times New Roman" w:hAnsi="Times New Roman" w:cs="Times New Roman"/>
          <w:sz w:val="24"/>
          <w:szCs w:val="24"/>
        </w:rPr>
        <w:t xml:space="preserve"> </w:t>
      </w:r>
      <w:r w:rsidR="00931E5A">
        <w:rPr>
          <w:rFonts w:ascii="Times New Roman" w:hAnsi="Times New Roman" w:cs="Times New Roman"/>
          <w:sz w:val="24"/>
          <w:szCs w:val="24"/>
        </w:rPr>
        <w:t xml:space="preserve">the variables based on </w:t>
      </w:r>
      <w:r w:rsidR="007864BC">
        <w:rPr>
          <w:rFonts w:ascii="Times New Roman" w:hAnsi="Times New Roman" w:cs="Times New Roman"/>
          <w:sz w:val="24"/>
          <w:szCs w:val="24"/>
        </w:rPr>
        <w:t xml:space="preserve">income, population, </w:t>
      </w:r>
      <w:r w:rsidR="00CD3B01">
        <w:rPr>
          <w:rFonts w:ascii="Times New Roman" w:hAnsi="Times New Roman" w:cs="Times New Roman"/>
          <w:sz w:val="24"/>
          <w:szCs w:val="24"/>
        </w:rPr>
        <w:t>and employment</w:t>
      </w:r>
      <w:r w:rsidR="00A758F7">
        <w:rPr>
          <w:rFonts w:ascii="Times New Roman" w:hAnsi="Times New Roman" w:cs="Times New Roman"/>
          <w:sz w:val="24"/>
          <w:szCs w:val="24"/>
        </w:rPr>
        <w:t>),</w:t>
      </w:r>
      <w:r w:rsidR="00CD3B01">
        <w:rPr>
          <w:rFonts w:ascii="Times New Roman" w:hAnsi="Times New Roman" w:cs="Times New Roman"/>
          <w:sz w:val="24"/>
          <w:szCs w:val="24"/>
        </w:rPr>
        <w:t xml:space="preserve"> </w:t>
      </w:r>
      <w:r w:rsidR="00A758F7">
        <w:rPr>
          <w:rFonts w:ascii="Times New Roman" w:hAnsi="Times New Roman" w:cs="Times New Roman"/>
          <w:sz w:val="24"/>
          <w:szCs w:val="24"/>
        </w:rPr>
        <w:t xml:space="preserve">a rise in </w:t>
      </w:r>
      <w:r w:rsidR="007864BC">
        <w:rPr>
          <w:rFonts w:ascii="Times New Roman" w:hAnsi="Times New Roman" w:cs="Times New Roman"/>
          <w:sz w:val="24"/>
          <w:szCs w:val="24"/>
        </w:rPr>
        <w:t xml:space="preserve">foreclosures </w:t>
      </w:r>
      <w:r w:rsidR="00A758F7">
        <w:rPr>
          <w:rFonts w:ascii="Times New Roman" w:hAnsi="Times New Roman" w:cs="Times New Roman"/>
          <w:sz w:val="24"/>
          <w:szCs w:val="24"/>
        </w:rPr>
        <w:t xml:space="preserve">is associated with a reduction in </w:t>
      </w:r>
      <w:r w:rsidR="007864BC">
        <w:rPr>
          <w:rFonts w:ascii="Times New Roman" w:hAnsi="Times New Roman" w:cs="Times New Roman"/>
          <w:sz w:val="24"/>
          <w:szCs w:val="24"/>
        </w:rPr>
        <w:t>the levy.  A</w:t>
      </w:r>
      <w:r w:rsidR="003D287A">
        <w:rPr>
          <w:rFonts w:ascii="Times New Roman" w:hAnsi="Times New Roman" w:cs="Times New Roman"/>
          <w:sz w:val="24"/>
          <w:szCs w:val="24"/>
        </w:rPr>
        <w:t>n</w:t>
      </w:r>
      <w:r w:rsidR="007864BC">
        <w:rPr>
          <w:rFonts w:ascii="Times New Roman" w:hAnsi="Times New Roman" w:cs="Times New Roman"/>
          <w:sz w:val="24"/>
          <w:szCs w:val="24"/>
        </w:rPr>
        <w:t xml:space="preserve"> </w:t>
      </w:r>
      <w:r w:rsidR="003D287A">
        <w:rPr>
          <w:rFonts w:ascii="Times New Roman" w:hAnsi="Times New Roman" w:cs="Times New Roman"/>
          <w:sz w:val="24"/>
          <w:szCs w:val="24"/>
        </w:rPr>
        <w:t xml:space="preserve">increase of </w:t>
      </w:r>
      <w:r w:rsidR="007864BC">
        <w:rPr>
          <w:rFonts w:ascii="Times New Roman" w:hAnsi="Times New Roman" w:cs="Times New Roman"/>
          <w:sz w:val="24"/>
          <w:szCs w:val="24"/>
        </w:rPr>
        <w:t>one foreclosure per 100 housing units is associated with about a 1.</w:t>
      </w:r>
      <w:r w:rsidR="00CD3B01">
        <w:rPr>
          <w:rFonts w:ascii="Times New Roman" w:hAnsi="Times New Roman" w:cs="Times New Roman"/>
          <w:sz w:val="24"/>
          <w:szCs w:val="24"/>
        </w:rPr>
        <w:t>5</w:t>
      </w:r>
      <w:r w:rsidR="007864BC">
        <w:rPr>
          <w:rFonts w:ascii="Times New Roman" w:hAnsi="Times New Roman" w:cs="Times New Roman"/>
          <w:sz w:val="24"/>
          <w:szCs w:val="24"/>
        </w:rPr>
        <w:t xml:space="preserve"> percent subsequent decline in the levy.  Similarly, one more foreclosure per 1000 residents is associated with a decline in the levy of about 0.4 percent.</w:t>
      </w:r>
      <w:r w:rsidR="00CD3B01">
        <w:rPr>
          <w:rFonts w:ascii="Times New Roman" w:hAnsi="Times New Roman" w:cs="Times New Roman"/>
          <w:sz w:val="24"/>
          <w:szCs w:val="24"/>
        </w:rPr>
        <w:t xml:space="preserve">  </w:t>
      </w:r>
      <w:r w:rsidR="00931E5A" w:rsidRPr="00A27DD8">
        <w:rPr>
          <w:rFonts w:ascii="Times New Roman" w:hAnsi="Times New Roman" w:cs="Times New Roman"/>
          <w:sz w:val="24"/>
          <w:szCs w:val="24"/>
        </w:rPr>
        <w:t>Given an</w:t>
      </w:r>
      <w:r w:rsidR="004F7306" w:rsidRPr="00A27DD8">
        <w:rPr>
          <w:rFonts w:ascii="Times New Roman" w:hAnsi="Times New Roman" w:cs="Times New Roman"/>
          <w:sz w:val="24"/>
          <w:szCs w:val="24"/>
        </w:rPr>
        <w:t xml:space="preserve"> aggregate</w:t>
      </w:r>
      <w:r w:rsidR="001C2E6A" w:rsidRPr="00A27DD8">
        <w:rPr>
          <w:rFonts w:ascii="Times New Roman" w:hAnsi="Times New Roman" w:cs="Times New Roman"/>
          <w:sz w:val="24"/>
          <w:szCs w:val="24"/>
        </w:rPr>
        <w:t xml:space="preserve">public school </w:t>
      </w:r>
      <w:r w:rsidR="00931E5A" w:rsidRPr="00A27DD8">
        <w:rPr>
          <w:rFonts w:ascii="Times New Roman" w:hAnsi="Times New Roman" w:cs="Times New Roman"/>
          <w:sz w:val="24"/>
          <w:szCs w:val="24"/>
        </w:rPr>
        <w:t>property tax levy of</w:t>
      </w:r>
      <w:r w:rsidR="001C2E6A" w:rsidRPr="00A27DD8">
        <w:rPr>
          <w:rFonts w:ascii="Times New Roman" w:hAnsi="Times New Roman" w:cs="Times New Roman"/>
          <w:sz w:val="24"/>
          <w:szCs w:val="24"/>
        </w:rPr>
        <w:t xml:space="preserve"> about</w:t>
      </w:r>
      <w:r w:rsidR="00931E5A" w:rsidRPr="00A27DD8">
        <w:rPr>
          <w:rFonts w:ascii="Times New Roman" w:hAnsi="Times New Roman" w:cs="Times New Roman"/>
          <w:sz w:val="24"/>
          <w:szCs w:val="24"/>
        </w:rPr>
        <w:t xml:space="preserve"> $</w:t>
      </w:r>
      <w:r w:rsidR="004F7306" w:rsidRPr="00A27DD8">
        <w:rPr>
          <w:rFonts w:ascii="Times New Roman" w:hAnsi="Times New Roman" w:cs="Times New Roman"/>
          <w:sz w:val="24"/>
          <w:szCs w:val="24"/>
        </w:rPr>
        <w:t>6.17</w:t>
      </w:r>
      <w:r w:rsidR="001C2E6A" w:rsidRPr="00A27DD8">
        <w:rPr>
          <w:rFonts w:ascii="Times New Roman" w:hAnsi="Times New Roman" w:cs="Times New Roman"/>
          <w:sz w:val="24"/>
          <w:szCs w:val="24"/>
        </w:rPr>
        <w:t xml:space="preserve"> </w:t>
      </w:r>
      <w:r w:rsidR="004F7306" w:rsidRPr="00A27DD8">
        <w:rPr>
          <w:rFonts w:ascii="Times New Roman" w:hAnsi="Times New Roman" w:cs="Times New Roman"/>
          <w:sz w:val="24"/>
          <w:szCs w:val="24"/>
        </w:rPr>
        <w:t>b</w:t>
      </w:r>
      <w:r w:rsidR="001C2E6A" w:rsidRPr="00A27DD8">
        <w:rPr>
          <w:rFonts w:ascii="Times New Roman" w:hAnsi="Times New Roman" w:cs="Times New Roman"/>
          <w:sz w:val="24"/>
          <w:szCs w:val="24"/>
        </w:rPr>
        <w:t>illion for Georgia in 2008</w:t>
      </w:r>
      <w:r w:rsidR="00931E5A" w:rsidRPr="00A27DD8">
        <w:rPr>
          <w:rFonts w:ascii="Times New Roman" w:hAnsi="Times New Roman" w:cs="Times New Roman"/>
          <w:sz w:val="24"/>
          <w:szCs w:val="24"/>
        </w:rPr>
        <w:t xml:space="preserve">, a 0.4 percent </w:t>
      </w:r>
      <w:r w:rsidR="00931E5A" w:rsidRPr="00A27DD8">
        <w:rPr>
          <w:rFonts w:ascii="Times New Roman" w:hAnsi="Times New Roman" w:cs="Times New Roman"/>
          <w:sz w:val="24"/>
          <w:szCs w:val="24"/>
        </w:rPr>
        <w:lastRenderedPageBreak/>
        <w:t xml:space="preserve">decrease amounts to </w:t>
      </w:r>
      <w:r w:rsidR="004F7306" w:rsidRPr="00A27DD8">
        <w:rPr>
          <w:rFonts w:ascii="Times New Roman" w:hAnsi="Times New Roman" w:cs="Times New Roman"/>
          <w:sz w:val="24"/>
          <w:szCs w:val="24"/>
        </w:rPr>
        <w:t xml:space="preserve">nearly </w:t>
      </w:r>
      <w:r w:rsidR="00931E5A" w:rsidRPr="00A27DD8">
        <w:rPr>
          <w:rFonts w:ascii="Times New Roman" w:hAnsi="Times New Roman" w:cs="Times New Roman"/>
          <w:sz w:val="24"/>
          <w:szCs w:val="24"/>
        </w:rPr>
        <w:t>$</w:t>
      </w:r>
      <w:r w:rsidR="004F7306" w:rsidRPr="00A27DD8">
        <w:rPr>
          <w:rFonts w:ascii="Times New Roman" w:hAnsi="Times New Roman" w:cs="Times New Roman"/>
          <w:sz w:val="24"/>
          <w:szCs w:val="24"/>
        </w:rPr>
        <w:t>25 million statewide; a 1.5 percent decline amounts to more than $92 million</w:t>
      </w:r>
      <w:r w:rsidR="00931E5A" w:rsidRPr="00A27DD8">
        <w:rPr>
          <w:rFonts w:ascii="Times New Roman" w:hAnsi="Times New Roman" w:cs="Times New Roman"/>
          <w:sz w:val="24"/>
          <w:szCs w:val="24"/>
        </w:rPr>
        <w:t>.</w:t>
      </w:r>
      <w:r w:rsidR="00931E5A">
        <w:rPr>
          <w:rFonts w:ascii="Times New Roman" w:hAnsi="Times New Roman" w:cs="Times New Roman"/>
          <w:sz w:val="24"/>
          <w:szCs w:val="24"/>
        </w:rPr>
        <w:t xml:space="preserve">  </w:t>
      </w:r>
      <w:r w:rsidR="00CD3B01">
        <w:rPr>
          <w:rFonts w:ascii="Times New Roman" w:hAnsi="Times New Roman" w:cs="Times New Roman"/>
          <w:sz w:val="24"/>
          <w:szCs w:val="24"/>
        </w:rPr>
        <w:t xml:space="preserve">A </w:t>
      </w:r>
      <w:r w:rsidR="00931E5A">
        <w:rPr>
          <w:rFonts w:ascii="Times New Roman" w:hAnsi="Times New Roman" w:cs="Times New Roman"/>
          <w:sz w:val="24"/>
          <w:szCs w:val="24"/>
        </w:rPr>
        <w:t>two-year</w:t>
      </w:r>
      <w:r w:rsidR="00CD3B01">
        <w:rPr>
          <w:rFonts w:ascii="Times New Roman" w:hAnsi="Times New Roman" w:cs="Times New Roman"/>
          <w:sz w:val="24"/>
          <w:szCs w:val="24"/>
        </w:rPr>
        <w:t xml:space="preserve"> lag of foreclosures, included in additional regressions</w:t>
      </w:r>
      <w:r w:rsidR="000E19F6">
        <w:rPr>
          <w:rFonts w:ascii="Times New Roman" w:hAnsi="Times New Roman" w:cs="Times New Roman"/>
          <w:sz w:val="24"/>
          <w:szCs w:val="24"/>
        </w:rPr>
        <w:t xml:space="preserve"> that are not reported</w:t>
      </w:r>
      <w:r w:rsidR="00CD3B01">
        <w:rPr>
          <w:rFonts w:ascii="Times New Roman" w:hAnsi="Times New Roman" w:cs="Times New Roman"/>
          <w:sz w:val="24"/>
          <w:szCs w:val="24"/>
        </w:rPr>
        <w:t>, did not have a statistically significant effect</w:t>
      </w:r>
      <w:r w:rsidR="00931E5A">
        <w:rPr>
          <w:rFonts w:ascii="Times New Roman" w:hAnsi="Times New Roman" w:cs="Times New Roman"/>
          <w:sz w:val="24"/>
          <w:szCs w:val="24"/>
        </w:rPr>
        <w:t xml:space="preserve"> and did not materially change the coefficient on the other variables</w:t>
      </w:r>
      <w:r w:rsidR="00CD3B01">
        <w:rPr>
          <w:rFonts w:ascii="Times New Roman" w:hAnsi="Times New Roman" w:cs="Times New Roman"/>
          <w:sz w:val="24"/>
          <w:szCs w:val="24"/>
        </w:rPr>
        <w:t>.</w:t>
      </w:r>
    </w:p>
    <w:p w:rsidR="00D84A2A" w:rsidRDefault="009F156E" w:rsidP="00D00DD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864BC">
        <w:rPr>
          <w:rFonts w:ascii="Times New Roman" w:hAnsi="Times New Roman" w:cs="Times New Roman"/>
          <w:sz w:val="24"/>
          <w:szCs w:val="24"/>
        </w:rPr>
        <w:t xml:space="preserve">he revenue regressions in </w:t>
      </w:r>
      <w:r w:rsidR="007864BC" w:rsidRPr="007D53C1">
        <w:rPr>
          <w:rFonts w:ascii="Times New Roman" w:hAnsi="Times New Roman" w:cs="Times New Roman"/>
          <w:sz w:val="24"/>
          <w:szCs w:val="24"/>
        </w:rPr>
        <w:t xml:space="preserve">Table </w:t>
      </w:r>
      <w:r w:rsidR="00497E15">
        <w:rPr>
          <w:rFonts w:ascii="Times New Roman" w:hAnsi="Times New Roman" w:cs="Times New Roman"/>
          <w:sz w:val="24"/>
          <w:szCs w:val="24"/>
        </w:rPr>
        <w:t xml:space="preserve">6 </w:t>
      </w:r>
      <w:r>
        <w:rPr>
          <w:rFonts w:ascii="Times New Roman" w:hAnsi="Times New Roman" w:cs="Times New Roman"/>
          <w:sz w:val="24"/>
          <w:szCs w:val="24"/>
        </w:rPr>
        <w:t xml:space="preserve">indicate that foreclosures </w:t>
      </w:r>
      <w:r w:rsidR="00403083">
        <w:rPr>
          <w:rFonts w:ascii="Times New Roman" w:hAnsi="Times New Roman" w:cs="Times New Roman"/>
          <w:sz w:val="24"/>
          <w:szCs w:val="24"/>
        </w:rPr>
        <w:t xml:space="preserve">also </w:t>
      </w:r>
      <w:r>
        <w:rPr>
          <w:rFonts w:ascii="Times New Roman" w:hAnsi="Times New Roman" w:cs="Times New Roman"/>
          <w:sz w:val="24"/>
          <w:szCs w:val="24"/>
        </w:rPr>
        <w:t xml:space="preserve">have a negative impact on revenues.  </w:t>
      </w:r>
      <w:r w:rsidR="006D7A59">
        <w:rPr>
          <w:rFonts w:ascii="Times New Roman" w:hAnsi="Times New Roman" w:cs="Times New Roman"/>
          <w:sz w:val="24"/>
          <w:szCs w:val="24"/>
        </w:rPr>
        <w:t>The property tax levy and property tax revenue are certainly highly correlated</w:t>
      </w:r>
      <w:r w:rsidR="007D7087">
        <w:rPr>
          <w:rFonts w:ascii="Times New Roman" w:hAnsi="Times New Roman" w:cs="Times New Roman"/>
          <w:sz w:val="24"/>
          <w:szCs w:val="24"/>
        </w:rPr>
        <w:t>, but</w:t>
      </w:r>
      <w:r w:rsidR="006D7A59">
        <w:rPr>
          <w:rFonts w:ascii="Times New Roman" w:hAnsi="Times New Roman" w:cs="Times New Roman"/>
          <w:sz w:val="24"/>
          <w:szCs w:val="24"/>
        </w:rPr>
        <w:t xml:space="preserve"> they differ </w:t>
      </w:r>
      <w:r w:rsidR="007D7087">
        <w:rPr>
          <w:rFonts w:ascii="Times New Roman" w:hAnsi="Times New Roman" w:cs="Times New Roman"/>
          <w:sz w:val="24"/>
          <w:szCs w:val="24"/>
        </w:rPr>
        <w:t xml:space="preserve">somewhat </w:t>
      </w:r>
      <w:r w:rsidR="006D7A59">
        <w:rPr>
          <w:rFonts w:ascii="Times New Roman" w:hAnsi="Times New Roman" w:cs="Times New Roman"/>
          <w:sz w:val="24"/>
          <w:szCs w:val="24"/>
        </w:rPr>
        <w:t>since the collection rate is not 100 percent and property tax payments</w:t>
      </w:r>
      <w:r w:rsidR="007D7087">
        <w:rPr>
          <w:rFonts w:ascii="Times New Roman" w:hAnsi="Times New Roman" w:cs="Times New Roman"/>
          <w:sz w:val="24"/>
          <w:szCs w:val="24"/>
        </w:rPr>
        <w:t xml:space="preserve"> may also be delayed</w:t>
      </w:r>
      <w:r w:rsidR="006D7A59">
        <w:rPr>
          <w:rFonts w:ascii="Times New Roman" w:hAnsi="Times New Roman" w:cs="Times New Roman"/>
          <w:sz w:val="24"/>
          <w:szCs w:val="24"/>
        </w:rPr>
        <w:t>.</w:t>
      </w:r>
      <w:r w:rsidR="007D7087">
        <w:rPr>
          <w:rStyle w:val="FootnoteReference"/>
          <w:rFonts w:ascii="Times New Roman" w:hAnsi="Times New Roman" w:cs="Times New Roman"/>
          <w:sz w:val="24"/>
          <w:szCs w:val="24"/>
        </w:rPr>
        <w:footnoteReference w:id="18"/>
      </w:r>
      <w:r w:rsidR="007D7087">
        <w:rPr>
          <w:rFonts w:ascii="Times New Roman" w:hAnsi="Times New Roman" w:cs="Times New Roman"/>
          <w:sz w:val="24"/>
          <w:szCs w:val="24"/>
        </w:rPr>
        <w:t xml:space="preserve"> </w:t>
      </w:r>
      <w:r w:rsidR="006D7A59">
        <w:rPr>
          <w:rFonts w:ascii="Times New Roman" w:hAnsi="Times New Roman" w:cs="Times New Roman"/>
          <w:sz w:val="24"/>
          <w:szCs w:val="24"/>
        </w:rPr>
        <w:t xml:space="preserve"> </w:t>
      </w:r>
      <w:r w:rsidR="00403083">
        <w:rPr>
          <w:rFonts w:ascii="Times New Roman" w:hAnsi="Times New Roman" w:cs="Times New Roman"/>
          <w:sz w:val="24"/>
          <w:szCs w:val="24"/>
        </w:rPr>
        <w:t>We begin with a simple model, including only the net digest</w:t>
      </w:r>
      <w:r w:rsidR="00A758F7">
        <w:rPr>
          <w:rFonts w:ascii="Times New Roman" w:hAnsi="Times New Roman" w:cs="Times New Roman"/>
          <w:sz w:val="24"/>
          <w:szCs w:val="24"/>
        </w:rPr>
        <w:t>,</w:t>
      </w:r>
      <w:r w:rsidR="00403083">
        <w:rPr>
          <w:rFonts w:ascii="Times New Roman" w:hAnsi="Times New Roman" w:cs="Times New Roman"/>
          <w:sz w:val="24"/>
          <w:szCs w:val="24"/>
        </w:rPr>
        <w:t xml:space="preserve"> income</w:t>
      </w:r>
      <w:r w:rsidR="00A758F7">
        <w:rPr>
          <w:rFonts w:ascii="Times New Roman" w:hAnsi="Times New Roman" w:cs="Times New Roman"/>
          <w:sz w:val="24"/>
          <w:szCs w:val="24"/>
        </w:rPr>
        <w:t>,</w:t>
      </w:r>
      <w:r w:rsidR="00403083">
        <w:rPr>
          <w:rFonts w:ascii="Times New Roman" w:hAnsi="Times New Roman" w:cs="Times New Roman"/>
          <w:sz w:val="24"/>
          <w:szCs w:val="24"/>
        </w:rPr>
        <w:t xml:space="preserve"> and population variables</w:t>
      </w:r>
      <w:r w:rsidR="00D508D0">
        <w:rPr>
          <w:rFonts w:ascii="Times New Roman" w:hAnsi="Times New Roman" w:cs="Times New Roman"/>
          <w:sz w:val="24"/>
          <w:szCs w:val="24"/>
        </w:rPr>
        <w:t xml:space="preserve"> in a pooled regression</w:t>
      </w:r>
      <w:r w:rsidR="002A5060">
        <w:rPr>
          <w:rFonts w:ascii="Times New Roman" w:hAnsi="Times New Roman" w:cs="Times New Roman"/>
          <w:sz w:val="24"/>
          <w:szCs w:val="24"/>
        </w:rPr>
        <w:t xml:space="preserve">; </w:t>
      </w:r>
      <w:r w:rsidR="00D508D0">
        <w:rPr>
          <w:rFonts w:ascii="Times New Roman" w:hAnsi="Times New Roman" w:cs="Times New Roman"/>
          <w:sz w:val="24"/>
          <w:szCs w:val="24"/>
        </w:rPr>
        <w:t xml:space="preserve"> in </w:t>
      </w:r>
      <w:r w:rsidR="005B111F">
        <w:rPr>
          <w:rFonts w:ascii="Times New Roman" w:hAnsi="Times New Roman" w:cs="Times New Roman"/>
          <w:sz w:val="24"/>
          <w:szCs w:val="24"/>
        </w:rPr>
        <w:t>column</w:t>
      </w:r>
      <w:r w:rsidR="002A5060">
        <w:rPr>
          <w:rFonts w:ascii="Times New Roman" w:hAnsi="Times New Roman" w:cs="Times New Roman"/>
          <w:sz w:val="24"/>
          <w:szCs w:val="24"/>
        </w:rPr>
        <w:t>s</w:t>
      </w:r>
      <w:r w:rsidR="005B111F">
        <w:rPr>
          <w:rFonts w:ascii="Times New Roman" w:hAnsi="Times New Roman" w:cs="Times New Roman"/>
          <w:sz w:val="24"/>
          <w:szCs w:val="24"/>
        </w:rPr>
        <w:t xml:space="preserve"> two </w:t>
      </w:r>
      <w:r w:rsidR="00D508D0">
        <w:rPr>
          <w:rFonts w:ascii="Times New Roman" w:hAnsi="Times New Roman" w:cs="Times New Roman"/>
          <w:sz w:val="24"/>
          <w:szCs w:val="24"/>
        </w:rPr>
        <w:t xml:space="preserve">and three </w:t>
      </w:r>
      <w:r>
        <w:rPr>
          <w:rFonts w:ascii="Times New Roman" w:hAnsi="Times New Roman" w:cs="Times New Roman"/>
          <w:sz w:val="24"/>
          <w:szCs w:val="24"/>
        </w:rPr>
        <w:t xml:space="preserve">we </w:t>
      </w:r>
      <w:r w:rsidR="00A758F7">
        <w:rPr>
          <w:rFonts w:ascii="Times New Roman" w:hAnsi="Times New Roman" w:cs="Times New Roman"/>
          <w:sz w:val="24"/>
          <w:szCs w:val="24"/>
        </w:rPr>
        <w:t>add</w:t>
      </w:r>
      <w:r w:rsidR="00D508D0">
        <w:rPr>
          <w:rFonts w:ascii="Times New Roman" w:hAnsi="Times New Roman" w:cs="Times New Roman"/>
          <w:sz w:val="24"/>
          <w:szCs w:val="24"/>
        </w:rPr>
        <w:t xml:space="preserve"> </w:t>
      </w:r>
      <w:r w:rsidR="000E19F6" w:rsidRPr="000E19F6">
        <w:rPr>
          <w:rFonts w:ascii="Times New Roman" w:hAnsi="Times New Roman" w:cs="Times New Roman"/>
          <w:sz w:val="24"/>
          <w:szCs w:val="24"/>
        </w:rPr>
        <w:t xml:space="preserve">employment and a dummy variable to indicate periods since the beginning of the housing crisis </w:t>
      </w:r>
      <w:r w:rsidR="00D508D0">
        <w:rPr>
          <w:rFonts w:ascii="Times New Roman" w:hAnsi="Times New Roman" w:cs="Times New Roman"/>
          <w:sz w:val="24"/>
          <w:szCs w:val="24"/>
        </w:rPr>
        <w:t xml:space="preserve">in pooled and fixed effects </w:t>
      </w:r>
      <w:r w:rsidR="00A758F7">
        <w:rPr>
          <w:rFonts w:ascii="Times New Roman" w:hAnsi="Times New Roman" w:cs="Times New Roman"/>
          <w:sz w:val="24"/>
          <w:szCs w:val="24"/>
        </w:rPr>
        <w:t>regressions</w:t>
      </w:r>
      <w:r w:rsidR="00D508D0">
        <w:rPr>
          <w:rFonts w:ascii="Times New Roman" w:hAnsi="Times New Roman" w:cs="Times New Roman"/>
          <w:sz w:val="24"/>
          <w:szCs w:val="24"/>
        </w:rPr>
        <w:t>.</w:t>
      </w:r>
      <w:r w:rsidR="005B111F">
        <w:rPr>
          <w:rFonts w:ascii="Times New Roman" w:hAnsi="Times New Roman" w:cs="Times New Roman"/>
          <w:sz w:val="24"/>
          <w:szCs w:val="24"/>
        </w:rPr>
        <w:t xml:space="preserve"> </w:t>
      </w:r>
      <w:r w:rsidR="00A758F7">
        <w:rPr>
          <w:rFonts w:ascii="Times New Roman" w:hAnsi="Times New Roman" w:cs="Times New Roman"/>
          <w:sz w:val="24"/>
          <w:szCs w:val="24"/>
        </w:rPr>
        <w:t>Finally, we</w:t>
      </w:r>
      <w:r w:rsidR="005B111F">
        <w:rPr>
          <w:rFonts w:ascii="Times New Roman" w:hAnsi="Times New Roman" w:cs="Times New Roman"/>
          <w:sz w:val="24"/>
          <w:szCs w:val="24"/>
        </w:rPr>
        <w:t xml:space="preserve"> substitute the foreclosure measures </w:t>
      </w:r>
      <w:r w:rsidR="00A758F7">
        <w:rPr>
          <w:rFonts w:ascii="Times New Roman" w:hAnsi="Times New Roman" w:cs="Times New Roman"/>
          <w:sz w:val="24"/>
          <w:szCs w:val="24"/>
        </w:rPr>
        <w:t xml:space="preserve">for the crisis dummy </w:t>
      </w:r>
      <w:r w:rsidR="005B111F">
        <w:rPr>
          <w:rFonts w:ascii="Times New Roman" w:hAnsi="Times New Roman" w:cs="Times New Roman"/>
          <w:sz w:val="24"/>
          <w:szCs w:val="24"/>
        </w:rPr>
        <w:t>in columns four</w:t>
      </w:r>
      <w:r w:rsidR="00A758F7">
        <w:rPr>
          <w:rFonts w:ascii="Times New Roman" w:hAnsi="Times New Roman" w:cs="Times New Roman"/>
          <w:sz w:val="24"/>
          <w:szCs w:val="24"/>
        </w:rPr>
        <w:t xml:space="preserve"> and five</w:t>
      </w:r>
      <w:r w:rsidR="007864BC">
        <w:rPr>
          <w:rFonts w:ascii="Times New Roman" w:hAnsi="Times New Roman" w:cs="Times New Roman"/>
          <w:sz w:val="24"/>
          <w:szCs w:val="24"/>
        </w:rPr>
        <w:t>.  T</w:t>
      </w:r>
      <w:r>
        <w:rPr>
          <w:rFonts w:ascii="Times New Roman" w:hAnsi="Times New Roman" w:cs="Times New Roman"/>
          <w:sz w:val="24"/>
          <w:szCs w:val="24"/>
        </w:rPr>
        <w:t xml:space="preserve">hese regressions also suggest a negative </w:t>
      </w:r>
      <w:r w:rsidR="001C255A" w:rsidRPr="001C255A">
        <w:rPr>
          <w:rFonts w:ascii="Times New Roman" w:hAnsi="Times New Roman" w:cs="Times New Roman"/>
          <w:sz w:val="24"/>
          <w:szCs w:val="24"/>
        </w:rPr>
        <w:t xml:space="preserve"> </w:t>
      </w:r>
      <w:r w:rsidR="001C255A">
        <w:rPr>
          <w:rFonts w:ascii="Times New Roman" w:hAnsi="Times New Roman" w:cs="Times New Roman"/>
          <w:sz w:val="24"/>
          <w:szCs w:val="24"/>
        </w:rPr>
        <w:t>relationship between</w:t>
      </w:r>
      <w:r>
        <w:rPr>
          <w:rFonts w:ascii="Times New Roman" w:hAnsi="Times New Roman" w:cs="Times New Roman"/>
          <w:sz w:val="24"/>
          <w:szCs w:val="24"/>
        </w:rPr>
        <w:t xml:space="preserve"> foreclosures</w:t>
      </w:r>
      <w:r w:rsidR="005B111F">
        <w:rPr>
          <w:rFonts w:ascii="Times New Roman" w:hAnsi="Times New Roman" w:cs="Times New Roman"/>
          <w:sz w:val="24"/>
          <w:szCs w:val="24"/>
        </w:rPr>
        <w:t xml:space="preserve"> </w:t>
      </w:r>
      <w:r w:rsidR="001C255A">
        <w:rPr>
          <w:rFonts w:ascii="Times New Roman" w:hAnsi="Times New Roman" w:cs="Times New Roman"/>
          <w:sz w:val="24"/>
          <w:szCs w:val="24"/>
        </w:rPr>
        <w:t xml:space="preserve">and </w:t>
      </w:r>
      <w:r w:rsidR="005B111F">
        <w:rPr>
          <w:rFonts w:ascii="Times New Roman" w:hAnsi="Times New Roman" w:cs="Times New Roman"/>
          <w:sz w:val="24"/>
          <w:szCs w:val="24"/>
        </w:rPr>
        <w:t>property tax revenue</w:t>
      </w:r>
      <w:r w:rsidR="00590745">
        <w:rPr>
          <w:rFonts w:ascii="Times New Roman" w:hAnsi="Times New Roman" w:cs="Times New Roman"/>
          <w:sz w:val="24"/>
          <w:szCs w:val="24"/>
        </w:rPr>
        <w:t>, all else constant.</w:t>
      </w:r>
      <w:r w:rsidR="00D00DD3" w:rsidRPr="007A7F09">
        <w:rPr>
          <w:rFonts w:ascii="Times New Roman" w:hAnsi="Times New Roman" w:cs="Times New Roman"/>
          <w:sz w:val="24"/>
          <w:szCs w:val="24"/>
        </w:rPr>
        <w:t xml:space="preserve"> </w:t>
      </w:r>
    </w:p>
    <w:p w:rsidR="008E7F2D" w:rsidRDefault="001C255A" w:rsidP="00D00DD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possible, of course, that increased foreclosures are correlated with unobserved factors that are influencing levy decisions or affecting revenue collections.  However, inclusion of the change in employment </w:t>
      </w:r>
      <w:r w:rsidR="006035AC">
        <w:rPr>
          <w:rFonts w:ascii="Times New Roman" w:hAnsi="Times New Roman" w:cs="Times New Roman"/>
          <w:sz w:val="24"/>
          <w:szCs w:val="24"/>
        </w:rPr>
        <w:t>(</w:t>
      </w:r>
      <w:r>
        <w:rPr>
          <w:rFonts w:ascii="Times New Roman" w:hAnsi="Times New Roman" w:cs="Times New Roman"/>
          <w:sz w:val="24"/>
          <w:szCs w:val="24"/>
        </w:rPr>
        <w:t xml:space="preserve">in addition to </w:t>
      </w:r>
      <w:r w:rsidR="006B693D">
        <w:rPr>
          <w:rFonts w:ascii="Times New Roman" w:hAnsi="Times New Roman" w:cs="Times New Roman"/>
          <w:sz w:val="24"/>
          <w:szCs w:val="24"/>
        </w:rPr>
        <w:t xml:space="preserve">per capita </w:t>
      </w:r>
      <w:r>
        <w:rPr>
          <w:rFonts w:ascii="Times New Roman" w:hAnsi="Times New Roman" w:cs="Times New Roman"/>
          <w:sz w:val="24"/>
          <w:szCs w:val="24"/>
        </w:rPr>
        <w:t>income</w:t>
      </w:r>
      <w:r w:rsidR="006035AC">
        <w:rPr>
          <w:rFonts w:ascii="Times New Roman" w:hAnsi="Times New Roman" w:cs="Times New Roman"/>
          <w:sz w:val="24"/>
          <w:szCs w:val="24"/>
        </w:rPr>
        <w:t xml:space="preserve"> changes)</w:t>
      </w:r>
      <w:r>
        <w:rPr>
          <w:rFonts w:ascii="Times New Roman" w:hAnsi="Times New Roman" w:cs="Times New Roman"/>
          <w:sz w:val="24"/>
          <w:szCs w:val="24"/>
        </w:rPr>
        <w:t xml:space="preserve"> should account for </w:t>
      </w:r>
      <w:r w:rsidR="006B693D">
        <w:rPr>
          <w:rFonts w:ascii="Times New Roman" w:hAnsi="Times New Roman" w:cs="Times New Roman"/>
          <w:sz w:val="24"/>
          <w:szCs w:val="24"/>
        </w:rPr>
        <w:t xml:space="preserve">most of the </w:t>
      </w:r>
      <w:r>
        <w:rPr>
          <w:rFonts w:ascii="Times New Roman" w:hAnsi="Times New Roman" w:cs="Times New Roman"/>
          <w:sz w:val="24"/>
          <w:szCs w:val="24"/>
        </w:rPr>
        <w:t xml:space="preserve">differences in severity of the recession </w:t>
      </w:r>
      <w:r w:rsidR="006B693D">
        <w:rPr>
          <w:rFonts w:ascii="Times New Roman" w:hAnsi="Times New Roman" w:cs="Times New Roman"/>
          <w:sz w:val="24"/>
          <w:szCs w:val="24"/>
        </w:rPr>
        <w:t xml:space="preserve">in income terms, while inclusion of the adjusted or net digest should already account for foreclosure effects on the tax base.  Thus it appears that differences in foreclosure activity have effects </w:t>
      </w:r>
      <w:r w:rsidR="00FE51F4">
        <w:rPr>
          <w:rFonts w:ascii="Times New Roman" w:hAnsi="Times New Roman" w:cs="Times New Roman"/>
          <w:sz w:val="24"/>
          <w:szCs w:val="24"/>
        </w:rPr>
        <w:t xml:space="preserve">on levy decisions </w:t>
      </w:r>
      <w:r w:rsidR="006B693D">
        <w:rPr>
          <w:rFonts w:ascii="Times New Roman" w:hAnsi="Times New Roman" w:cs="Times New Roman"/>
          <w:sz w:val="24"/>
          <w:szCs w:val="24"/>
        </w:rPr>
        <w:t xml:space="preserve">that are in addition to </w:t>
      </w:r>
      <w:r w:rsidR="00FE51F4">
        <w:rPr>
          <w:rFonts w:ascii="Times New Roman" w:hAnsi="Times New Roman" w:cs="Times New Roman"/>
          <w:sz w:val="24"/>
          <w:szCs w:val="24"/>
        </w:rPr>
        <w:t xml:space="preserve">their effects on the tax base or </w:t>
      </w:r>
      <w:r w:rsidR="006B693D">
        <w:rPr>
          <w:rFonts w:ascii="Times New Roman" w:hAnsi="Times New Roman" w:cs="Times New Roman"/>
          <w:sz w:val="24"/>
          <w:szCs w:val="24"/>
        </w:rPr>
        <w:t>the income effects of the recession.</w:t>
      </w:r>
      <w:r w:rsidR="008E7F2D" w:rsidRPr="008E7F2D">
        <w:rPr>
          <w:rFonts w:ascii="Times New Roman" w:hAnsi="Times New Roman" w:cs="Times New Roman"/>
          <w:sz w:val="24"/>
          <w:szCs w:val="24"/>
        </w:rPr>
        <w:t xml:space="preserve"> </w:t>
      </w:r>
    </w:p>
    <w:p w:rsidR="00510D49" w:rsidRPr="007A7F09" w:rsidRDefault="008E7F2D" w:rsidP="00D00DD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we </w:t>
      </w:r>
      <w:r w:rsidR="00883324">
        <w:rPr>
          <w:rFonts w:ascii="Times New Roman" w:hAnsi="Times New Roman" w:cs="Times New Roman"/>
          <w:sz w:val="24"/>
          <w:szCs w:val="24"/>
        </w:rPr>
        <w:t>consider</w:t>
      </w:r>
      <w:r w:rsidR="006035AC">
        <w:rPr>
          <w:rFonts w:ascii="Times New Roman" w:hAnsi="Times New Roman" w:cs="Times New Roman"/>
          <w:sz w:val="24"/>
          <w:szCs w:val="24"/>
        </w:rPr>
        <w:t xml:space="preserve"> the possible effects of</w:t>
      </w:r>
      <w:r>
        <w:rPr>
          <w:rFonts w:ascii="Times New Roman" w:hAnsi="Times New Roman" w:cs="Times New Roman"/>
          <w:sz w:val="24"/>
          <w:szCs w:val="24"/>
        </w:rPr>
        <w:t xml:space="preserve"> differences in federal stimulus funding (as a percent of the prior period levy or local source revenues) under the American Recovery and </w:t>
      </w:r>
      <w:r>
        <w:rPr>
          <w:rFonts w:ascii="Times New Roman" w:hAnsi="Times New Roman" w:cs="Times New Roman"/>
          <w:sz w:val="24"/>
          <w:szCs w:val="24"/>
        </w:rPr>
        <w:lastRenderedPageBreak/>
        <w:t xml:space="preserve">Reinvestment Act (ARRA), suspecting that greater stimulus funding might substitute for property tax levies to allow schools systems to better maintain pre-recession spending levels.  If this was the case, then </w:t>
      </w:r>
      <w:r w:rsidR="0026606E">
        <w:rPr>
          <w:rFonts w:ascii="Times New Roman" w:hAnsi="Times New Roman" w:cs="Times New Roman"/>
          <w:sz w:val="24"/>
          <w:szCs w:val="24"/>
        </w:rPr>
        <w:t>districts may be less inclined to raise millage rates to offset weak property values resulting from foreclosures. O</w:t>
      </w:r>
      <w:r>
        <w:rPr>
          <w:rFonts w:ascii="Times New Roman" w:hAnsi="Times New Roman" w:cs="Times New Roman"/>
          <w:sz w:val="24"/>
          <w:szCs w:val="24"/>
        </w:rPr>
        <w:t xml:space="preserve">ne would </w:t>
      </w:r>
      <w:r w:rsidR="0026606E">
        <w:rPr>
          <w:rFonts w:ascii="Times New Roman" w:hAnsi="Times New Roman" w:cs="Times New Roman"/>
          <w:sz w:val="24"/>
          <w:szCs w:val="24"/>
        </w:rPr>
        <w:t xml:space="preserve">thus </w:t>
      </w:r>
      <w:r>
        <w:rPr>
          <w:rFonts w:ascii="Times New Roman" w:hAnsi="Times New Roman" w:cs="Times New Roman"/>
          <w:sz w:val="24"/>
          <w:szCs w:val="24"/>
        </w:rPr>
        <w:t>expect to find a negative relationship between ARRA funding and property tax levies or revenues</w:t>
      </w:r>
      <w:r w:rsidR="0026606E">
        <w:rPr>
          <w:rFonts w:ascii="Times New Roman" w:hAnsi="Times New Roman" w:cs="Times New Roman"/>
          <w:sz w:val="24"/>
          <w:szCs w:val="24"/>
        </w:rPr>
        <w:t>, and for the apparent effects of</w:t>
      </w:r>
      <w:r w:rsidR="007D53C1">
        <w:rPr>
          <w:rFonts w:ascii="Times New Roman" w:hAnsi="Times New Roman" w:cs="Times New Roman"/>
          <w:sz w:val="24"/>
          <w:szCs w:val="24"/>
        </w:rPr>
        <w:t xml:space="preserve"> foreclosures in the models of T</w:t>
      </w:r>
      <w:r w:rsidR="0026606E">
        <w:rPr>
          <w:rFonts w:ascii="Times New Roman" w:hAnsi="Times New Roman" w:cs="Times New Roman"/>
          <w:sz w:val="24"/>
          <w:szCs w:val="24"/>
        </w:rPr>
        <w:t xml:space="preserve">ables </w:t>
      </w:r>
      <w:r w:rsidR="00497E15">
        <w:rPr>
          <w:rFonts w:ascii="Times New Roman" w:hAnsi="Times New Roman" w:cs="Times New Roman"/>
          <w:sz w:val="24"/>
          <w:szCs w:val="24"/>
        </w:rPr>
        <w:t xml:space="preserve">5 </w:t>
      </w:r>
      <w:r w:rsidR="0026606E">
        <w:rPr>
          <w:rFonts w:ascii="Times New Roman" w:hAnsi="Times New Roman" w:cs="Times New Roman"/>
          <w:sz w:val="24"/>
          <w:szCs w:val="24"/>
        </w:rPr>
        <w:t xml:space="preserve">and </w:t>
      </w:r>
      <w:r w:rsidR="006D7A59">
        <w:rPr>
          <w:rFonts w:ascii="Times New Roman" w:hAnsi="Times New Roman" w:cs="Times New Roman"/>
          <w:sz w:val="24"/>
          <w:szCs w:val="24"/>
        </w:rPr>
        <w:t>6</w:t>
      </w:r>
      <w:r w:rsidR="0026606E">
        <w:rPr>
          <w:rFonts w:ascii="Times New Roman" w:hAnsi="Times New Roman" w:cs="Times New Roman"/>
          <w:sz w:val="24"/>
          <w:szCs w:val="24"/>
        </w:rPr>
        <w:t xml:space="preserve"> to vanish</w:t>
      </w:r>
      <w:r>
        <w:rPr>
          <w:rFonts w:ascii="Times New Roman" w:hAnsi="Times New Roman" w:cs="Times New Roman"/>
          <w:sz w:val="24"/>
          <w:szCs w:val="24"/>
        </w:rPr>
        <w:t xml:space="preserve">.  </w:t>
      </w:r>
      <w:r w:rsidR="004367C0">
        <w:rPr>
          <w:rFonts w:ascii="Times New Roman" w:hAnsi="Times New Roman" w:cs="Times New Roman"/>
          <w:sz w:val="24"/>
          <w:szCs w:val="24"/>
        </w:rPr>
        <w:t xml:space="preserve">In fact, this is not the case; coefficient estimates on ARRA funding </w:t>
      </w:r>
      <w:r w:rsidR="009C2BB8">
        <w:rPr>
          <w:rFonts w:ascii="Times New Roman" w:hAnsi="Times New Roman" w:cs="Times New Roman"/>
          <w:sz w:val="24"/>
          <w:szCs w:val="24"/>
        </w:rPr>
        <w:t xml:space="preserve">are not statistically significant in the levy </w:t>
      </w:r>
      <w:r w:rsidR="0055207B">
        <w:rPr>
          <w:rFonts w:ascii="Times New Roman" w:hAnsi="Times New Roman" w:cs="Times New Roman"/>
          <w:sz w:val="24"/>
          <w:szCs w:val="24"/>
        </w:rPr>
        <w:t xml:space="preserve">or revenue </w:t>
      </w:r>
      <w:r w:rsidR="009C2BB8">
        <w:rPr>
          <w:rFonts w:ascii="Times New Roman" w:hAnsi="Times New Roman" w:cs="Times New Roman"/>
          <w:sz w:val="24"/>
          <w:szCs w:val="24"/>
        </w:rPr>
        <w:t>regressions</w:t>
      </w:r>
      <w:r w:rsidR="0055207B">
        <w:rPr>
          <w:rFonts w:ascii="Times New Roman" w:hAnsi="Times New Roman" w:cs="Times New Roman"/>
          <w:sz w:val="24"/>
          <w:szCs w:val="24"/>
        </w:rPr>
        <w:t>, and the estimates on the foreclosure or other variables are not materially affected.</w:t>
      </w:r>
    </w:p>
    <w:p w:rsidR="0070486A" w:rsidRPr="007A7F09" w:rsidRDefault="0070486A" w:rsidP="003F57C3">
      <w:pPr>
        <w:autoSpaceDE w:val="0"/>
        <w:autoSpaceDN w:val="0"/>
        <w:adjustRightInd w:val="0"/>
        <w:spacing w:after="0" w:line="480" w:lineRule="auto"/>
        <w:rPr>
          <w:rFonts w:ascii="Times New Roman" w:hAnsi="Times New Roman" w:cs="Times New Roman"/>
          <w:sz w:val="24"/>
          <w:szCs w:val="24"/>
        </w:rPr>
      </w:pPr>
    </w:p>
    <w:p w:rsidR="009F156E" w:rsidRDefault="003F57C3" w:rsidP="00B6196F">
      <w:pPr>
        <w:keepNext/>
        <w:autoSpaceDE w:val="0"/>
        <w:autoSpaceDN w:val="0"/>
        <w:adjustRightInd w:val="0"/>
        <w:spacing w:after="0" w:line="480" w:lineRule="auto"/>
        <w:rPr>
          <w:rFonts w:ascii="Times New Roman Bold" w:hAnsi="Times New Roman Bold" w:cs="Times New Roman"/>
          <w:b/>
          <w:smallCaps/>
          <w:sz w:val="24"/>
          <w:szCs w:val="24"/>
          <w:u w:val="single"/>
        </w:rPr>
      </w:pPr>
      <w:r w:rsidRPr="003F57C3">
        <w:rPr>
          <w:rFonts w:ascii="Times New Roman Bold" w:hAnsi="Times New Roman Bold" w:cs="Times New Roman"/>
          <w:b/>
          <w:smallCaps/>
          <w:sz w:val="24"/>
          <w:szCs w:val="24"/>
          <w:u w:val="single"/>
        </w:rPr>
        <w:t>V. Conclusions</w:t>
      </w:r>
    </w:p>
    <w:p w:rsidR="00865F57" w:rsidRDefault="009F156E" w:rsidP="00865F57">
      <w:pPr>
        <w:autoSpaceDE w:val="0"/>
        <w:autoSpaceDN w:val="0"/>
        <w:adjustRightInd w:val="0"/>
        <w:spacing w:after="0" w:line="480" w:lineRule="auto"/>
        <w:ind w:firstLine="720"/>
        <w:rPr>
          <w:rFonts w:ascii="Times New Roman" w:hAnsi="Times New Roman" w:cs="Times New Roman"/>
          <w:sz w:val="24"/>
          <w:szCs w:val="24"/>
        </w:rPr>
      </w:pPr>
      <w:r w:rsidRPr="0070486A">
        <w:rPr>
          <w:rFonts w:ascii="Times New Roman" w:hAnsi="Times New Roman" w:cs="Times New Roman"/>
          <w:sz w:val="24"/>
          <w:szCs w:val="24"/>
        </w:rPr>
        <w:t xml:space="preserve">How have foreclosures </w:t>
      </w:r>
      <w:r>
        <w:rPr>
          <w:rFonts w:ascii="Times New Roman" w:hAnsi="Times New Roman" w:cs="Times New Roman"/>
          <w:sz w:val="24"/>
          <w:szCs w:val="24"/>
        </w:rPr>
        <w:t xml:space="preserve">driven by the Great Recession </w:t>
      </w:r>
      <w:r w:rsidRPr="0070486A">
        <w:rPr>
          <w:rFonts w:ascii="Times New Roman" w:hAnsi="Times New Roman" w:cs="Times New Roman"/>
          <w:sz w:val="24"/>
          <w:szCs w:val="24"/>
        </w:rPr>
        <w:t>affected the property tax revenues of local governments?</w:t>
      </w:r>
      <w:r>
        <w:rPr>
          <w:rFonts w:ascii="Times New Roman" w:hAnsi="Times New Roman" w:cs="Times New Roman"/>
          <w:sz w:val="24"/>
          <w:szCs w:val="24"/>
        </w:rPr>
        <w:t xml:space="preserve">  We focus on school districts in Georgia for the period before, during, and after the Great Recession, and we estimate the impact of foreclosures on market values, property tax levies, and, especially, prope</w:t>
      </w:r>
      <w:r w:rsidR="00883324">
        <w:rPr>
          <w:rFonts w:ascii="Times New Roman" w:hAnsi="Times New Roman" w:cs="Times New Roman"/>
          <w:sz w:val="24"/>
          <w:szCs w:val="24"/>
        </w:rPr>
        <w:t xml:space="preserve">rty tax revenues.  Our results </w:t>
      </w:r>
      <w:r>
        <w:rPr>
          <w:rFonts w:ascii="Times New Roman" w:hAnsi="Times New Roman" w:cs="Times New Roman"/>
          <w:sz w:val="24"/>
          <w:szCs w:val="24"/>
        </w:rPr>
        <w:t xml:space="preserve">clearly suggest that </w:t>
      </w:r>
      <w:r w:rsidR="00865F57">
        <w:rPr>
          <w:rFonts w:ascii="Times New Roman" w:hAnsi="Times New Roman" w:cs="Times New Roman"/>
          <w:sz w:val="24"/>
          <w:szCs w:val="24"/>
        </w:rPr>
        <w:t xml:space="preserve">foreclosure activity has had significant impacts on market values, on </w:t>
      </w:r>
      <w:r w:rsidR="00423041">
        <w:rPr>
          <w:rFonts w:ascii="Times New Roman" w:hAnsi="Times New Roman" w:cs="Times New Roman"/>
          <w:sz w:val="24"/>
          <w:szCs w:val="24"/>
        </w:rPr>
        <w:t>levies</w:t>
      </w:r>
      <w:r w:rsidR="00865F57">
        <w:rPr>
          <w:rFonts w:ascii="Times New Roman" w:hAnsi="Times New Roman" w:cs="Times New Roman"/>
          <w:sz w:val="24"/>
          <w:szCs w:val="24"/>
        </w:rPr>
        <w:t>, and on tax revenues.  Of course, these results have been found only in a single state (Georgia)</w:t>
      </w:r>
      <w:r w:rsidR="00C35BEF">
        <w:rPr>
          <w:rFonts w:ascii="Times New Roman" w:hAnsi="Times New Roman" w:cs="Times New Roman"/>
          <w:sz w:val="24"/>
          <w:szCs w:val="24"/>
        </w:rPr>
        <w:t xml:space="preserve"> and </w:t>
      </w:r>
      <w:r w:rsidR="007D53C1">
        <w:rPr>
          <w:rFonts w:ascii="Times New Roman" w:hAnsi="Times New Roman" w:cs="Times New Roman"/>
          <w:sz w:val="24"/>
          <w:szCs w:val="24"/>
        </w:rPr>
        <w:t xml:space="preserve">they </w:t>
      </w:r>
      <w:r w:rsidR="00C35BEF">
        <w:rPr>
          <w:rFonts w:ascii="Times New Roman" w:hAnsi="Times New Roman" w:cs="Times New Roman"/>
          <w:sz w:val="24"/>
          <w:szCs w:val="24"/>
        </w:rPr>
        <w:t>may not hold for other states.  Georgia had one of the highest level</w:t>
      </w:r>
      <w:r w:rsidR="00727A76">
        <w:rPr>
          <w:rFonts w:ascii="Times New Roman" w:hAnsi="Times New Roman" w:cs="Times New Roman"/>
          <w:sz w:val="24"/>
          <w:szCs w:val="24"/>
        </w:rPr>
        <w:t>s</w:t>
      </w:r>
      <w:r w:rsidR="00C35BEF">
        <w:rPr>
          <w:rFonts w:ascii="Times New Roman" w:hAnsi="Times New Roman" w:cs="Times New Roman"/>
          <w:sz w:val="24"/>
          <w:szCs w:val="24"/>
        </w:rPr>
        <w:t xml:space="preserve"> of foreclosures per capita, and as note</w:t>
      </w:r>
      <w:r w:rsidR="007D53C1">
        <w:rPr>
          <w:rFonts w:ascii="Times New Roman" w:hAnsi="Times New Roman" w:cs="Times New Roman"/>
          <w:sz w:val="24"/>
          <w:szCs w:val="24"/>
        </w:rPr>
        <w:t>d</w:t>
      </w:r>
      <w:r w:rsidR="00C35BEF">
        <w:rPr>
          <w:rFonts w:ascii="Times New Roman" w:hAnsi="Times New Roman" w:cs="Times New Roman"/>
          <w:sz w:val="24"/>
          <w:szCs w:val="24"/>
        </w:rPr>
        <w:t xml:space="preserve"> above, </w:t>
      </w:r>
      <w:r w:rsidR="007D53C1">
        <w:rPr>
          <w:rFonts w:ascii="Times New Roman" w:hAnsi="Times New Roman" w:cs="Times New Roman"/>
          <w:sz w:val="24"/>
          <w:szCs w:val="24"/>
        </w:rPr>
        <w:t xml:space="preserve">the state </w:t>
      </w:r>
      <w:r w:rsidR="00C35BEF">
        <w:rPr>
          <w:rFonts w:ascii="Times New Roman" w:hAnsi="Times New Roman" w:cs="Times New Roman"/>
          <w:sz w:val="24"/>
          <w:szCs w:val="24"/>
        </w:rPr>
        <w:t xml:space="preserve">was hit hard by the Great Recession.  </w:t>
      </w:r>
      <w:r w:rsidR="007D53C1">
        <w:rPr>
          <w:rFonts w:ascii="Times New Roman" w:hAnsi="Times New Roman" w:cs="Times New Roman"/>
          <w:sz w:val="24"/>
          <w:szCs w:val="24"/>
        </w:rPr>
        <w:t>Still</w:t>
      </w:r>
      <w:r w:rsidR="00C35BEF">
        <w:rPr>
          <w:rFonts w:ascii="Times New Roman" w:hAnsi="Times New Roman" w:cs="Times New Roman"/>
          <w:sz w:val="24"/>
          <w:szCs w:val="24"/>
        </w:rPr>
        <w:t xml:space="preserve">, as measured by housing price increases in the Atlanta metropolitan area, </w:t>
      </w:r>
      <w:r w:rsidR="00865F57">
        <w:rPr>
          <w:rFonts w:ascii="Times New Roman" w:hAnsi="Times New Roman" w:cs="Times New Roman"/>
          <w:sz w:val="24"/>
          <w:szCs w:val="24"/>
        </w:rPr>
        <w:t>the housing bubble was not especially pronounced</w:t>
      </w:r>
      <w:r w:rsidR="00C35BEF">
        <w:rPr>
          <w:rFonts w:ascii="Times New Roman" w:hAnsi="Times New Roman" w:cs="Times New Roman"/>
          <w:sz w:val="24"/>
          <w:szCs w:val="24"/>
        </w:rPr>
        <w:t xml:space="preserve"> in Georgia</w:t>
      </w:r>
      <w:r w:rsidR="00865F57">
        <w:rPr>
          <w:rFonts w:ascii="Times New Roman" w:hAnsi="Times New Roman" w:cs="Times New Roman"/>
          <w:sz w:val="24"/>
          <w:szCs w:val="24"/>
        </w:rPr>
        <w:t xml:space="preserve"> (</w:t>
      </w:r>
      <w:r w:rsidR="00865F57" w:rsidRPr="00746638">
        <w:rPr>
          <w:rFonts w:ascii="Times New Roman" w:hAnsi="Times New Roman" w:cs="Times New Roman"/>
          <w:sz w:val="24"/>
          <w:szCs w:val="24"/>
        </w:rPr>
        <w:t>Foll</w:t>
      </w:r>
      <w:r w:rsidR="00865F57">
        <w:rPr>
          <w:rFonts w:ascii="Times New Roman" w:hAnsi="Times New Roman" w:cs="Times New Roman"/>
          <w:sz w:val="24"/>
          <w:szCs w:val="24"/>
        </w:rPr>
        <w:t xml:space="preserve">ain and Giertz, </w:t>
      </w:r>
      <w:r w:rsidR="007D53C1">
        <w:rPr>
          <w:rFonts w:ascii="Times New Roman" w:hAnsi="Times New Roman" w:cs="Times New Roman"/>
          <w:sz w:val="24"/>
          <w:szCs w:val="24"/>
        </w:rPr>
        <w:t>2013</w:t>
      </w:r>
      <w:r w:rsidR="00865F57">
        <w:rPr>
          <w:rFonts w:ascii="Times New Roman" w:hAnsi="Times New Roman" w:cs="Times New Roman"/>
          <w:sz w:val="24"/>
          <w:szCs w:val="24"/>
        </w:rPr>
        <w:t xml:space="preserve">).  </w:t>
      </w:r>
      <w:r w:rsidR="00C35BEF">
        <w:rPr>
          <w:rFonts w:ascii="Times New Roman" w:hAnsi="Times New Roman" w:cs="Times New Roman"/>
          <w:sz w:val="24"/>
          <w:szCs w:val="24"/>
        </w:rPr>
        <w:t xml:space="preserve">Nonetheless, our results are consistent with research regarding the effect of foreclosures on property values. </w:t>
      </w:r>
    </w:p>
    <w:p w:rsidR="009F156E" w:rsidRDefault="009F156E" w:rsidP="009F156E">
      <w:pPr>
        <w:autoSpaceDE w:val="0"/>
        <w:autoSpaceDN w:val="0"/>
        <w:adjustRightInd w:val="0"/>
        <w:spacing w:after="0" w:line="480" w:lineRule="auto"/>
        <w:ind w:firstLine="720"/>
        <w:rPr>
          <w:rFonts w:ascii="Times New Roman" w:hAnsi="Times New Roman" w:cs="Times New Roman"/>
          <w:sz w:val="24"/>
          <w:szCs w:val="24"/>
        </w:rPr>
      </w:pPr>
    </w:p>
    <w:p w:rsidR="00A04021" w:rsidRDefault="00A04021">
      <w:pPr>
        <w:rPr>
          <w:rFonts w:ascii="Times New Roman" w:hAnsi="Times New Roman" w:cs="Times New Roman"/>
          <w:b/>
          <w:smallCaps/>
          <w:sz w:val="24"/>
          <w:szCs w:val="24"/>
          <w:u w:val="single"/>
        </w:rPr>
      </w:pPr>
      <w:r>
        <w:rPr>
          <w:rFonts w:ascii="Times New Roman" w:hAnsi="Times New Roman" w:cs="Times New Roman"/>
          <w:b/>
          <w:smallCaps/>
          <w:sz w:val="24"/>
          <w:szCs w:val="24"/>
          <w:u w:val="single"/>
        </w:rPr>
        <w:br w:type="page"/>
      </w:r>
    </w:p>
    <w:p w:rsidR="00516887" w:rsidRPr="00DF7F9E" w:rsidRDefault="00516887" w:rsidP="00516887">
      <w:pPr>
        <w:spacing w:after="0" w:line="240" w:lineRule="auto"/>
        <w:rPr>
          <w:rFonts w:ascii="Times New Roman" w:hAnsi="Times New Roman" w:cs="Times New Roman"/>
          <w:b/>
          <w:smallCaps/>
          <w:sz w:val="24"/>
          <w:szCs w:val="24"/>
          <w:u w:val="single"/>
        </w:rPr>
      </w:pPr>
      <w:r w:rsidRPr="00DF7F9E">
        <w:rPr>
          <w:rFonts w:ascii="Times New Roman" w:hAnsi="Times New Roman" w:cs="Times New Roman"/>
          <w:b/>
          <w:smallCaps/>
          <w:sz w:val="24"/>
          <w:szCs w:val="24"/>
          <w:u w:val="single"/>
        </w:rPr>
        <w:lastRenderedPageBreak/>
        <w:t>References</w:t>
      </w:r>
    </w:p>
    <w:p w:rsidR="00516887" w:rsidRPr="006D3591" w:rsidRDefault="00516887" w:rsidP="00516887">
      <w:pPr>
        <w:spacing w:after="0" w:line="240" w:lineRule="auto"/>
        <w:rPr>
          <w:rFonts w:ascii="Times New Roman" w:hAnsi="Times New Roman" w:cs="Times New Roman"/>
          <w:b/>
          <w:smallCaps/>
          <w:sz w:val="24"/>
          <w:szCs w:val="24"/>
        </w:rPr>
      </w:pPr>
    </w:p>
    <w:p w:rsidR="006C35C9" w:rsidRPr="00865F57" w:rsidRDefault="006C35C9" w:rsidP="006C35C9">
      <w:pPr>
        <w:rPr>
          <w:rFonts w:ascii="Times New Roman" w:hAnsi="Times New Roman" w:cs="Times New Roman"/>
          <w:sz w:val="24"/>
          <w:szCs w:val="24"/>
        </w:rPr>
      </w:pPr>
      <w:r w:rsidRPr="00865F57">
        <w:rPr>
          <w:rFonts w:ascii="Times New Roman" w:hAnsi="Times New Roman" w:cs="Times New Roman"/>
          <w:sz w:val="24"/>
          <w:szCs w:val="24"/>
        </w:rPr>
        <w:t xml:space="preserve">Alexander, Frank S. (2011). </w:t>
      </w:r>
      <w:r w:rsidRPr="00865F57">
        <w:rPr>
          <w:rFonts w:ascii="Times New Roman" w:hAnsi="Times New Roman" w:cs="Times New Roman"/>
          <w:i/>
          <w:sz w:val="24"/>
          <w:szCs w:val="24"/>
        </w:rPr>
        <w:t>Georgia Real Estate Finance and Foreclosure Law.</w:t>
      </w:r>
      <w:r w:rsidRPr="00865F57">
        <w:rPr>
          <w:rFonts w:ascii="Times New Roman" w:hAnsi="Times New Roman" w:cs="Times New Roman"/>
          <w:sz w:val="24"/>
          <w:szCs w:val="24"/>
        </w:rPr>
        <w:t xml:space="preserve"> Eagan, MN: WEST.</w:t>
      </w:r>
    </w:p>
    <w:p w:rsidR="00DF7F9E" w:rsidRPr="00F21940" w:rsidRDefault="00DF7F9E" w:rsidP="00DF7F9E">
      <w:pPr>
        <w:widowControl w:val="0"/>
        <w:spacing w:after="0" w:line="240" w:lineRule="auto"/>
        <w:rPr>
          <w:rFonts w:ascii="Times New Roman" w:hAnsi="Times New Roman" w:cs="Times New Roman"/>
          <w:sz w:val="24"/>
          <w:szCs w:val="24"/>
        </w:rPr>
      </w:pPr>
      <w:r w:rsidRPr="00F21940">
        <w:rPr>
          <w:rFonts w:ascii="Times New Roman" w:hAnsi="Times New Roman" w:cs="Times New Roman"/>
          <w:sz w:val="24"/>
          <w:szCs w:val="24"/>
        </w:rPr>
        <w:t xml:space="preserve">Alm, James and David L. Sjoquist (2009).  “The Response of Local School Systems in Georgia to Fiscal and Economic Conditions”.  </w:t>
      </w:r>
      <w:r w:rsidRPr="00F21940">
        <w:rPr>
          <w:rFonts w:ascii="Times New Roman" w:hAnsi="Times New Roman" w:cs="Times New Roman"/>
          <w:i/>
          <w:sz w:val="24"/>
          <w:szCs w:val="24"/>
        </w:rPr>
        <w:t>Journal of Education Finance</w:t>
      </w:r>
      <w:r w:rsidRPr="00F21940">
        <w:rPr>
          <w:rFonts w:ascii="Times New Roman" w:hAnsi="Times New Roman" w:cs="Times New Roman"/>
          <w:sz w:val="24"/>
          <w:szCs w:val="24"/>
        </w:rPr>
        <w:t>, 35 (1), 60-84.</w:t>
      </w:r>
    </w:p>
    <w:p w:rsidR="00DF7F9E" w:rsidRPr="00F21940" w:rsidRDefault="00DF7F9E" w:rsidP="00197294">
      <w:pPr>
        <w:widowControl w:val="0"/>
        <w:spacing w:after="0" w:line="240" w:lineRule="auto"/>
        <w:rPr>
          <w:rStyle w:val="Emphasis"/>
          <w:rFonts w:ascii="Times New Roman" w:hAnsi="Times New Roman" w:cs="Times New Roman"/>
          <w:i w:val="0"/>
          <w:sz w:val="24"/>
          <w:szCs w:val="24"/>
        </w:rPr>
      </w:pPr>
    </w:p>
    <w:p w:rsidR="00197294" w:rsidRPr="00F21940" w:rsidRDefault="00197294" w:rsidP="00197294">
      <w:pPr>
        <w:widowControl w:val="0"/>
        <w:spacing w:after="0" w:line="240" w:lineRule="auto"/>
        <w:rPr>
          <w:rStyle w:val="Emphasis"/>
          <w:rFonts w:ascii="Times New Roman" w:hAnsi="Times New Roman" w:cs="Times New Roman"/>
          <w:i w:val="0"/>
          <w:iCs w:val="0"/>
          <w:sz w:val="24"/>
          <w:szCs w:val="24"/>
        </w:rPr>
      </w:pPr>
      <w:r w:rsidRPr="00F21940">
        <w:rPr>
          <w:rStyle w:val="Emphasis"/>
          <w:rFonts w:ascii="Times New Roman" w:hAnsi="Times New Roman" w:cs="Times New Roman"/>
          <w:i w:val="0"/>
          <w:sz w:val="24"/>
          <w:szCs w:val="24"/>
        </w:rPr>
        <w:t>Alm, James, Robert D. Buschman, and David L. Sjoquist (2009).  “Economic Conditions and State and Local Education Revenue”</w:t>
      </w:r>
      <w:r w:rsidRPr="00F21940">
        <w:rPr>
          <w:rStyle w:val="Emphasis"/>
          <w:rFonts w:ascii="Times New Roman" w:hAnsi="Times New Roman" w:cs="Times New Roman"/>
          <w:sz w:val="24"/>
          <w:szCs w:val="24"/>
        </w:rPr>
        <w:t>.  Public Budgeting &amp; Finance</w:t>
      </w:r>
      <w:r w:rsidRPr="00F21940">
        <w:rPr>
          <w:rStyle w:val="Emphasis"/>
          <w:rFonts w:ascii="Times New Roman" w:hAnsi="Times New Roman" w:cs="Times New Roman"/>
          <w:i w:val="0"/>
          <w:sz w:val="24"/>
          <w:szCs w:val="24"/>
        </w:rPr>
        <w:t>, 29 (3), 28-51.</w:t>
      </w:r>
    </w:p>
    <w:p w:rsidR="00197294" w:rsidRPr="00F21940" w:rsidRDefault="00197294" w:rsidP="00516887">
      <w:pPr>
        <w:widowControl w:val="0"/>
        <w:spacing w:after="0" w:line="240" w:lineRule="auto"/>
        <w:rPr>
          <w:rFonts w:ascii="Times New Roman" w:hAnsi="Times New Roman" w:cs="Times New Roman"/>
          <w:sz w:val="24"/>
          <w:szCs w:val="24"/>
        </w:rPr>
      </w:pPr>
    </w:p>
    <w:p w:rsidR="00516887" w:rsidRPr="00F21940" w:rsidRDefault="00516887" w:rsidP="00516887">
      <w:pPr>
        <w:widowControl w:val="0"/>
        <w:spacing w:after="0" w:line="240" w:lineRule="auto"/>
        <w:rPr>
          <w:rFonts w:ascii="Times New Roman" w:hAnsi="Times New Roman" w:cs="Times New Roman"/>
          <w:sz w:val="24"/>
          <w:szCs w:val="24"/>
        </w:rPr>
      </w:pPr>
      <w:r w:rsidRPr="00F21940">
        <w:rPr>
          <w:rFonts w:ascii="Times New Roman" w:hAnsi="Times New Roman" w:cs="Times New Roman"/>
          <w:sz w:val="24"/>
          <w:szCs w:val="24"/>
        </w:rPr>
        <w:t>Alm, James, Robert D. Buschman</w:t>
      </w:r>
      <w:r w:rsidR="00197294" w:rsidRPr="00F21940">
        <w:rPr>
          <w:rFonts w:ascii="Times New Roman" w:hAnsi="Times New Roman" w:cs="Times New Roman"/>
          <w:sz w:val="24"/>
          <w:szCs w:val="24"/>
        </w:rPr>
        <w:t>,</w:t>
      </w:r>
      <w:r w:rsidRPr="00F21940">
        <w:rPr>
          <w:rFonts w:ascii="Times New Roman" w:hAnsi="Times New Roman" w:cs="Times New Roman"/>
          <w:sz w:val="24"/>
          <w:szCs w:val="24"/>
        </w:rPr>
        <w:t xml:space="preserve"> and David L. Sjoquist (2011).  “Rethinking Local Government Reliance on the Property Tax”.  </w:t>
      </w:r>
      <w:r w:rsidRPr="00F21940">
        <w:rPr>
          <w:rFonts w:ascii="Times New Roman" w:hAnsi="Times New Roman" w:cs="Times New Roman"/>
          <w:i/>
          <w:sz w:val="24"/>
          <w:szCs w:val="24"/>
        </w:rPr>
        <w:t>Regional Science and Urban Economics</w:t>
      </w:r>
      <w:r w:rsidRPr="00F21940">
        <w:rPr>
          <w:rFonts w:ascii="Times New Roman" w:hAnsi="Times New Roman" w:cs="Times New Roman"/>
          <w:sz w:val="24"/>
          <w:szCs w:val="24"/>
        </w:rPr>
        <w:t>, 41 (4), 320-331.</w:t>
      </w:r>
    </w:p>
    <w:p w:rsidR="00516887" w:rsidRPr="00F21940" w:rsidRDefault="00516887" w:rsidP="00516887">
      <w:pPr>
        <w:widowControl w:val="0"/>
        <w:spacing w:after="0" w:line="240" w:lineRule="auto"/>
        <w:rPr>
          <w:rFonts w:ascii="Times New Roman" w:hAnsi="Times New Roman" w:cs="Times New Roman"/>
          <w:sz w:val="24"/>
          <w:szCs w:val="24"/>
        </w:rPr>
      </w:pPr>
    </w:p>
    <w:p w:rsidR="00197294" w:rsidRPr="00F21940" w:rsidRDefault="00197294" w:rsidP="00197294">
      <w:pPr>
        <w:widowControl w:val="0"/>
        <w:spacing w:after="0" w:line="240" w:lineRule="auto"/>
        <w:rPr>
          <w:rFonts w:ascii="Times New Roman" w:hAnsi="Times New Roman" w:cs="Times New Roman"/>
          <w:sz w:val="24"/>
          <w:szCs w:val="24"/>
        </w:rPr>
      </w:pPr>
      <w:r w:rsidRPr="00F21940">
        <w:rPr>
          <w:rStyle w:val="Emphasis"/>
          <w:rFonts w:ascii="Times New Roman" w:hAnsi="Times New Roman" w:cs="Times New Roman"/>
          <w:i w:val="0"/>
          <w:sz w:val="24"/>
          <w:szCs w:val="24"/>
        </w:rPr>
        <w:t xml:space="preserve">Anderson, John E. (2010).  “Shocks to the Property Tax Base and Implications for Local Public Finance”.  </w:t>
      </w:r>
      <w:r w:rsidRPr="00F21940">
        <w:rPr>
          <w:rStyle w:val="Emphasis"/>
          <w:rFonts w:ascii="Times New Roman" w:hAnsi="Times New Roman" w:cs="Times New Roman"/>
          <w:sz w:val="24"/>
          <w:szCs w:val="24"/>
        </w:rPr>
        <w:t xml:space="preserve"> </w:t>
      </w:r>
      <w:r w:rsidRPr="00F21940">
        <w:rPr>
          <w:rFonts w:ascii="Times New Roman" w:hAnsi="Times New Roman" w:cs="Times New Roman"/>
          <w:bCs/>
          <w:sz w:val="24"/>
          <w:szCs w:val="24"/>
        </w:rPr>
        <w:t xml:space="preserve">Paper presented at the </w:t>
      </w:r>
      <w:r w:rsidRPr="00F21940">
        <w:rPr>
          <w:rFonts w:ascii="Times New Roman" w:hAnsi="Times New Roman" w:cs="Times New Roman"/>
          <w:sz w:val="24"/>
          <w:szCs w:val="24"/>
        </w:rPr>
        <w:t xml:space="preserve">Urban Institute-Brookings Institution Tax Policy Center and the Lincoln Institute of Land Policy Conference, </w:t>
      </w:r>
      <w:r w:rsidRPr="00F21940">
        <w:rPr>
          <w:rFonts w:ascii="Times New Roman" w:eastAsia="Times New Roman" w:hAnsi="Times New Roman" w:cs="Times New Roman"/>
          <w:bCs/>
          <w:sz w:val="24"/>
          <w:szCs w:val="24"/>
        </w:rPr>
        <w:t>“Effects of the Housing Crisis on State and Local Governments”.  Washington, D.C.</w:t>
      </w:r>
    </w:p>
    <w:p w:rsidR="00197294" w:rsidRPr="00F21940" w:rsidRDefault="00197294" w:rsidP="00197294">
      <w:pPr>
        <w:widowControl w:val="0"/>
        <w:spacing w:after="0" w:line="240" w:lineRule="auto"/>
        <w:rPr>
          <w:rFonts w:ascii="Times New Roman" w:hAnsi="Times New Roman" w:cs="Times New Roman"/>
          <w:sz w:val="24"/>
          <w:szCs w:val="24"/>
        </w:rPr>
      </w:pPr>
    </w:p>
    <w:p w:rsidR="00197294" w:rsidRPr="00F21940" w:rsidRDefault="00197294" w:rsidP="00197294">
      <w:pPr>
        <w:widowControl w:val="0"/>
        <w:spacing w:after="0" w:line="240" w:lineRule="auto"/>
        <w:rPr>
          <w:rFonts w:ascii="Times New Roman" w:hAnsi="Times New Roman" w:cs="Times New Roman"/>
          <w:sz w:val="24"/>
          <w:szCs w:val="24"/>
        </w:rPr>
      </w:pPr>
      <w:r w:rsidRPr="00F21940">
        <w:rPr>
          <w:rFonts w:ascii="Times New Roman" w:hAnsi="Times New Roman" w:cs="Times New Roman"/>
          <w:sz w:val="24"/>
          <w:szCs w:val="24"/>
        </w:rPr>
        <w:t>Attanasio, Orazio, Laura Blow, Robert Hamilton, and Andrew Leicester (2009).  “Booms and Busts: Consumption,</w:t>
      </w:r>
      <w:r w:rsidRPr="00F21940">
        <w:rPr>
          <w:rFonts w:ascii="Times New Roman" w:eastAsia="Times New Roman" w:hAnsi="Times New Roman" w:cs="Times New Roman"/>
          <w:bCs/>
          <w:sz w:val="24"/>
          <w:szCs w:val="24"/>
        </w:rPr>
        <w:t xml:space="preserve"> </w:t>
      </w:r>
      <w:r w:rsidRPr="00F21940">
        <w:rPr>
          <w:rFonts w:ascii="Times New Roman" w:hAnsi="Times New Roman" w:cs="Times New Roman"/>
          <w:sz w:val="24"/>
          <w:szCs w:val="24"/>
        </w:rPr>
        <w:t xml:space="preserve">House Prices and Expectations”.  </w:t>
      </w:r>
      <w:r w:rsidRPr="00F21940">
        <w:rPr>
          <w:rFonts w:ascii="Times New Roman" w:hAnsi="Times New Roman" w:cs="Times New Roman"/>
          <w:i/>
          <w:sz w:val="24"/>
          <w:szCs w:val="24"/>
        </w:rPr>
        <w:t>Economica</w:t>
      </w:r>
      <w:r w:rsidRPr="00F21940">
        <w:rPr>
          <w:rFonts w:ascii="Times New Roman" w:hAnsi="Times New Roman" w:cs="Times New Roman"/>
          <w:sz w:val="24"/>
          <w:szCs w:val="24"/>
        </w:rPr>
        <w:t>, 76 (301), 20-50.</w:t>
      </w:r>
    </w:p>
    <w:p w:rsidR="00197294" w:rsidRPr="00F21940" w:rsidRDefault="00197294" w:rsidP="00197294">
      <w:pPr>
        <w:widowControl w:val="0"/>
        <w:spacing w:after="0" w:line="240" w:lineRule="auto"/>
        <w:rPr>
          <w:rFonts w:ascii="Times New Roman" w:hAnsi="Times New Roman" w:cs="Times New Roman"/>
          <w:sz w:val="24"/>
          <w:szCs w:val="24"/>
        </w:rPr>
      </w:pP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r w:rsidRPr="00F21940">
        <w:rPr>
          <w:rFonts w:ascii="Times New Roman" w:hAnsi="Times New Roman" w:cs="Times New Roman"/>
          <w:color w:val="000000" w:themeColor="text1"/>
          <w:sz w:val="24"/>
          <w:szCs w:val="24"/>
        </w:rPr>
        <w:t xml:space="preserve">Bourdeaux, Carolyn and Sungman Jun (2011). </w:t>
      </w:r>
      <w:r w:rsidRPr="00F21940">
        <w:rPr>
          <w:rStyle w:val="Emphasis"/>
          <w:rFonts w:ascii="Times New Roman" w:eastAsiaTheme="majorEastAsia" w:hAnsi="Times New Roman" w:cs="Times New Roman"/>
          <w:color w:val="000000" w:themeColor="text1"/>
          <w:sz w:val="24"/>
          <w:szCs w:val="24"/>
        </w:rPr>
        <w:t xml:space="preserve"> Comparing Georgia's Revenue Portfolio to Regional and National Peers,</w:t>
      </w:r>
      <w:r w:rsidRPr="00F21940">
        <w:rPr>
          <w:rFonts w:ascii="Times New Roman" w:hAnsi="Times New Roman" w:cs="Times New Roman"/>
          <w:color w:val="000000" w:themeColor="text1"/>
          <w:sz w:val="24"/>
          <w:szCs w:val="24"/>
        </w:rPr>
        <w:t xml:space="preserve"> </w:t>
      </w:r>
      <w:r w:rsidRPr="00F21940">
        <w:rPr>
          <w:rFonts w:ascii="Times New Roman" w:eastAsiaTheme="majorEastAsia" w:hAnsi="Times New Roman" w:cs="Times New Roman"/>
          <w:color w:val="000000" w:themeColor="text1"/>
          <w:sz w:val="24"/>
          <w:szCs w:val="24"/>
        </w:rPr>
        <w:t>FRC Report 222. Atlanta, GA: Fiscal Research Center, Andrew Young School of Policy Studies, Georgia State University.</w:t>
      </w:r>
    </w:p>
    <w:p w:rsidR="00197294" w:rsidRPr="00F21940" w:rsidRDefault="00197294" w:rsidP="00197294">
      <w:pPr>
        <w:widowControl w:val="0"/>
        <w:spacing w:after="0" w:line="240" w:lineRule="auto"/>
        <w:rPr>
          <w:rFonts w:ascii="Times New Roman" w:hAnsi="Times New Roman" w:cs="Times New Roman"/>
          <w:sz w:val="24"/>
          <w:szCs w:val="24"/>
        </w:rPr>
      </w:pPr>
    </w:p>
    <w:p w:rsidR="00197294" w:rsidRPr="00F21940" w:rsidRDefault="00197294" w:rsidP="00197294">
      <w:pPr>
        <w:widowControl w:val="0"/>
        <w:spacing w:after="0" w:line="240" w:lineRule="auto"/>
        <w:rPr>
          <w:rFonts w:ascii="Times New Roman" w:hAnsi="Times New Roman" w:cs="Times New Roman"/>
          <w:sz w:val="24"/>
          <w:szCs w:val="24"/>
        </w:rPr>
      </w:pPr>
      <w:r w:rsidRPr="00F21940">
        <w:rPr>
          <w:rFonts w:ascii="Times New Roman" w:hAnsi="Times New Roman" w:cs="Times New Roman"/>
          <w:sz w:val="24"/>
          <w:szCs w:val="24"/>
        </w:rPr>
        <w:t>Bostic, Raphael, Stuart Gabriel, and Gary Painter (2009).  “Housing Wealth, Financial Wealth, and Consumption:</w:t>
      </w:r>
      <w:r w:rsidRPr="00F21940">
        <w:rPr>
          <w:rFonts w:ascii="Times New Roman" w:eastAsia="Times New Roman" w:hAnsi="Times New Roman" w:cs="Times New Roman"/>
          <w:bCs/>
          <w:sz w:val="24"/>
          <w:szCs w:val="24"/>
        </w:rPr>
        <w:t xml:space="preserve"> </w:t>
      </w:r>
      <w:r w:rsidRPr="00F21940">
        <w:rPr>
          <w:rFonts w:ascii="Times New Roman" w:hAnsi="Times New Roman" w:cs="Times New Roman"/>
          <w:sz w:val="24"/>
          <w:szCs w:val="24"/>
        </w:rPr>
        <w:t xml:space="preserve">New Evidence from Micro Data”.  </w:t>
      </w:r>
      <w:r w:rsidRPr="00F21940">
        <w:rPr>
          <w:rFonts w:ascii="Times New Roman" w:hAnsi="Times New Roman" w:cs="Times New Roman"/>
          <w:i/>
          <w:sz w:val="24"/>
          <w:szCs w:val="24"/>
        </w:rPr>
        <w:t>Regional Science and Urban Economics</w:t>
      </w:r>
      <w:r w:rsidRPr="00F21940">
        <w:rPr>
          <w:rFonts w:ascii="Times New Roman" w:hAnsi="Times New Roman" w:cs="Times New Roman"/>
          <w:sz w:val="24"/>
          <w:szCs w:val="24"/>
        </w:rPr>
        <w:t>, 39 (1), 79-89.</w:t>
      </w:r>
    </w:p>
    <w:p w:rsidR="00197294" w:rsidRPr="00F21940" w:rsidRDefault="00197294" w:rsidP="00197294">
      <w:pPr>
        <w:widowControl w:val="0"/>
        <w:spacing w:after="0" w:line="240" w:lineRule="auto"/>
        <w:rPr>
          <w:rFonts w:ascii="Times New Roman" w:hAnsi="Times New Roman" w:cs="Times New Roman"/>
          <w:sz w:val="24"/>
          <w:szCs w:val="24"/>
        </w:rPr>
      </w:pPr>
    </w:p>
    <w:p w:rsidR="00F21940" w:rsidRPr="00F21940" w:rsidRDefault="00F21940" w:rsidP="00F2194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Boyd, Donald J. (2010</w:t>
      </w:r>
      <w:r w:rsidR="00197294" w:rsidRPr="00F21940">
        <w:rPr>
          <w:rFonts w:ascii="Times New Roman" w:hAnsi="Times New Roman" w:cs="Times New Roman"/>
          <w:sz w:val="24"/>
          <w:szCs w:val="24"/>
        </w:rPr>
        <w:t xml:space="preserve">).  </w:t>
      </w:r>
      <w:r w:rsidR="00197294" w:rsidRPr="00F21940">
        <w:rPr>
          <w:rFonts w:ascii="Times New Roman" w:hAnsi="Times New Roman" w:cs="Times New Roman"/>
          <w:i/>
          <w:sz w:val="24"/>
          <w:szCs w:val="24"/>
        </w:rPr>
        <w:t>“</w:t>
      </w:r>
      <w:r w:rsidR="00197294" w:rsidRPr="00F21940">
        <w:rPr>
          <w:rStyle w:val="Emphasis"/>
          <w:rFonts w:ascii="Times New Roman" w:hAnsi="Times New Roman" w:cs="Times New Roman"/>
          <w:i w:val="0"/>
          <w:sz w:val="24"/>
          <w:szCs w:val="24"/>
        </w:rPr>
        <w:t>Recession, Recovery, and State and Local Finances”.</w:t>
      </w:r>
      <w:r w:rsidRPr="00F21940">
        <w:rPr>
          <w:rStyle w:val="Emphasis"/>
          <w:rFonts w:ascii="Times New Roman" w:hAnsi="Times New Roman" w:cs="Times New Roman"/>
          <w:i w:val="0"/>
          <w:sz w:val="24"/>
          <w:szCs w:val="24"/>
        </w:rPr>
        <w:t xml:space="preserve"> </w:t>
      </w:r>
      <w:r w:rsidRPr="00F21940">
        <w:rPr>
          <w:rStyle w:val="Emphasis"/>
          <w:rFonts w:ascii="Times New Roman" w:hAnsi="Times New Roman" w:cs="Times New Roman"/>
          <w:sz w:val="24"/>
          <w:szCs w:val="24"/>
        </w:rPr>
        <w:t xml:space="preserve"> </w:t>
      </w:r>
      <w:r w:rsidRPr="00F21940">
        <w:rPr>
          <w:rFonts w:ascii="Times New Roman" w:hAnsi="Times New Roman" w:cs="Times New Roman"/>
          <w:bCs/>
          <w:sz w:val="24"/>
          <w:szCs w:val="24"/>
        </w:rPr>
        <w:t xml:space="preserve">Paper presented at the </w:t>
      </w:r>
      <w:r w:rsidRPr="00F21940">
        <w:rPr>
          <w:rFonts w:ascii="Times New Roman" w:hAnsi="Times New Roman" w:cs="Times New Roman"/>
          <w:sz w:val="24"/>
          <w:szCs w:val="24"/>
        </w:rPr>
        <w:t xml:space="preserve">Urban Institute-Brookings Institution Tax Policy Center and the Lincoln Institute of Land Policy Conference, </w:t>
      </w:r>
      <w:r w:rsidRPr="00F21940">
        <w:rPr>
          <w:rFonts w:ascii="Times New Roman" w:eastAsia="Times New Roman" w:hAnsi="Times New Roman" w:cs="Times New Roman"/>
          <w:bCs/>
          <w:sz w:val="24"/>
          <w:szCs w:val="24"/>
        </w:rPr>
        <w:t>“Effects of the Housing Crisis on State and Local Governments”.  Washington, D.C.</w:t>
      </w:r>
    </w:p>
    <w:p w:rsidR="00197294" w:rsidRPr="00F21940" w:rsidRDefault="00197294" w:rsidP="00197294">
      <w:pPr>
        <w:widowControl w:val="0"/>
        <w:spacing w:after="0" w:line="240" w:lineRule="auto"/>
        <w:rPr>
          <w:rFonts w:ascii="Times New Roman" w:hAnsi="Times New Roman" w:cs="Times New Roman"/>
          <w:sz w:val="24"/>
          <w:szCs w:val="24"/>
        </w:rPr>
      </w:pPr>
    </w:p>
    <w:p w:rsidR="00197294" w:rsidRPr="00F21940" w:rsidRDefault="00197294" w:rsidP="00197294">
      <w:pPr>
        <w:widowControl w:val="0"/>
        <w:spacing w:after="0" w:line="240" w:lineRule="auto"/>
        <w:rPr>
          <w:rFonts w:ascii="Times New Roman" w:hAnsi="Times New Roman" w:cs="Times New Roman"/>
          <w:sz w:val="24"/>
          <w:szCs w:val="24"/>
        </w:rPr>
      </w:pPr>
      <w:r w:rsidRPr="00F21940">
        <w:rPr>
          <w:rFonts w:ascii="Times New Roman" w:hAnsi="Times New Roman" w:cs="Times New Roman"/>
          <w:sz w:val="24"/>
          <w:szCs w:val="24"/>
        </w:rPr>
        <w:t>Campbell, John Y. and Joao F. Cocco (2007).  “How Do House Prices Affect Consumption?  Evidence from</w:t>
      </w:r>
      <w:r w:rsidRPr="00F21940">
        <w:rPr>
          <w:rFonts w:ascii="Times New Roman" w:eastAsia="Times New Roman" w:hAnsi="Times New Roman" w:cs="Times New Roman"/>
          <w:bCs/>
          <w:sz w:val="24"/>
          <w:szCs w:val="24"/>
        </w:rPr>
        <w:t xml:space="preserve"> </w:t>
      </w:r>
      <w:r w:rsidRPr="00F21940">
        <w:rPr>
          <w:rFonts w:ascii="Times New Roman" w:hAnsi="Times New Roman" w:cs="Times New Roman"/>
          <w:sz w:val="24"/>
          <w:szCs w:val="24"/>
        </w:rPr>
        <w:t xml:space="preserve">Micro Data”.  </w:t>
      </w:r>
      <w:r w:rsidRPr="00F21940">
        <w:rPr>
          <w:rFonts w:ascii="Times New Roman" w:hAnsi="Times New Roman" w:cs="Times New Roman"/>
          <w:i/>
          <w:sz w:val="24"/>
          <w:szCs w:val="24"/>
        </w:rPr>
        <w:t>Journal of Monetary Economics</w:t>
      </w:r>
      <w:r w:rsidRPr="00F21940">
        <w:rPr>
          <w:rFonts w:ascii="Times New Roman" w:hAnsi="Times New Roman" w:cs="Times New Roman"/>
          <w:sz w:val="24"/>
          <w:szCs w:val="24"/>
        </w:rPr>
        <w:t>, 54 (3), 591-621.</w:t>
      </w:r>
    </w:p>
    <w:p w:rsidR="00197294" w:rsidRPr="00F21940" w:rsidRDefault="00197294" w:rsidP="00197294">
      <w:pPr>
        <w:widowControl w:val="0"/>
        <w:spacing w:after="0" w:line="240" w:lineRule="auto"/>
        <w:rPr>
          <w:rFonts w:ascii="Times New Roman" w:hAnsi="Times New Roman" w:cs="Times New Roman"/>
          <w:sz w:val="24"/>
          <w:szCs w:val="24"/>
        </w:rPr>
      </w:pPr>
    </w:p>
    <w:p w:rsidR="006A21DF" w:rsidRPr="006A21DF" w:rsidRDefault="006A21DF" w:rsidP="006A21DF">
      <w:pPr>
        <w:spacing w:after="0"/>
        <w:rPr>
          <w:rFonts w:ascii="Times New Roman" w:hAnsi="Times New Roman"/>
          <w:sz w:val="24"/>
        </w:rPr>
      </w:pPr>
      <w:r w:rsidRPr="006A21DF">
        <w:rPr>
          <w:rFonts w:ascii="Times New Roman" w:hAnsi="Times New Roman"/>
          <w:sz w:val="24"/>
        </w:rPr>
        <w:t xml:space="preserve">Campbell, John Y., Stefano Giglio, and Parag Pathak (2011). “Forced Sales and House Prices.” </w:t>
      </w:r>
      <w:r w:rsidRPr="006A21DF">
        <w:rPr>
          <w:rFonts w:ascii="Times New Roman" w:hAnsi="Times New Roman"/>
          <w:i/>
          <w:sz w:val="24"/>
        </w:rPr>
        <w:t>American Economic Review</w:t>
      </w:r>
      <w:r w:rsidRPr="006A21DF">
        <w:rPr>
          <w:rFonts w:ascii="Times New Roman" w:hAnsi="Times New Roman"/>
          <w:sz w:val="24"/>
        </w:rPr>
        <w:t xml:space="preserve"> 101(5): 2108-2131.</w:t>
      </w:r>
    </w:p>
    <w:p w:rsidR="006A21DF" w:rsidRPr="006A21DF" w:rsidRDefault="006A21DF" w:rsidP="006A21DF">
      <w:pPr>
        <w:spacing w:after="0"/>
        <w:rPr>
          <w:rFonts w:ascii="Times New Roman" w:hAnsi="Times New Roman"/>
          <w:sz w:val="24"/>
        </w:rPr>
      </w:pPr>
    </w:p>
    <w:p w:rsidR="00197294" w:rsidRPr="00F21940" w:rsidRDefault="00197294" w:rsidP="00197294">
      <w:pPr>
        <w:widowControl w:val="0"/>
        <w:spacing w:after="0" w:line="240" w:lineRule="auto"/>
        <w:rPr>
          <w:rFonts w:ascii="Times New Roman" w:hAnsi="Times New Roman" w:cs="Times New Roman"/>
          <w:sz w:val="24"/>
          <w:szCs w:val="24"/>
        </w:rPr>
      </w:pPr>
      <w:r w:rsidRPr="00F21940">
        <w:rPr>
          <w:rFonts w:ascii="Times New Roman" w:hAnsi="Times New Roman" w:cs="Times New Roman"/>
          <w:sz w:val="24"/>
          <w:szCs w:val="24"/>
        </w:rPr>
        <w:t xml:space="preserve">Cornia, Gary C. and Lawrence C. Walters (2006).  “Full Disclosure: Controlling Property Tax Increases During Periods of Increasing Housing Values”.   </w:t>
      </w:r>
      <w:r w:rsidRPr="00F21940">
        <w:rPr>
          <w:rFonts w:ascii="Times New Roman" w:hAnsi="Times New Roman" w:cs="Times New Roman"/>
          <w:i/>
          <w:sz w:val="24"/>
          <w:szCs w:val="24"/>
        </w:rPr>
        <w:t>National Tax Journal</w:t>
      </w:r>
      <w:r w:rsidRPr="00F21940">
        <w:rPr>
          <w:rFonts w:ascii="Times New Roman" w:hAnsi="Times New Roman" w:cs="Times New Roman"/>
          <w:sz w:val="24"/>
          <w:szCs w:val="24"/>
        </w:rPr>
        <w:t>, 59 (3), 735-749.</w:t>
      </w:r>
    </w:p>
    <w:p w:rsidR="00197294" w:rsidRPr="00F21940" w:rsidRDefault="00197294" w:rsidP="00197294">
      <w:pPr>
        <w:widowControl w:val="0"/>
        <w:spacing w:after="0" w:line="240" w:lineRule="auto"/>
        <w:rPr>
          <w:rFonts w:ascii="Times New Roman" w:hAnsi="Times New Roman" w:cs="Times New Roman"/>
          <w:sz w:val="24"/>
          <w:szCs w:val="24"/>
        </w:rPr>
      </w:pPr>
    </w:p>
    <w:p w:rsidR="00197294" w:rsidRPr="00F21940" w:rsidRDefault="00197294" w:rsidP="00197294">
      <w:pPr>
        <w:widowControl w:val="0"/>
        <w:spacing w:after="0" w:line="240" w:lineRule="auto"/>
        <w:rPr>
          <w:rFonts w:ascii="Times New Roman" w:hAnsi="Times New Roman" w:cs="Times New Roman"/>
          <w:sz w:val="24"/>
          <w:szCs w:val="24"/>
        </w:rPr>
      </w:pPr>
      <w:r w:rsidRPr="00F21940">
        <w:rPr>
          <w:rFonts w:ascii="Times New Roman" w:hAnsi="Times New Roman" w:cs="Times New Roman"/>
          <w:sz w:val="24"/>
          <w:szCs w:val="24"/>
        </w:rPr>
        <w:t xml:space="preserve">Cutler, David, Douglas Elmendorf, and Richard Zeckhauser (1999). “Restraining the Leviathan: Property Tax Limitations in Massachusetts”.  </w:t>
      </w:r>
      <w:r w:rsidRPr="00F21940">
        <w:rPr>
          <w:rFonts w:ascii="Times New Roman" w:hAnsi="Times New Roman" w:cs="Times New Roman"/>
          <w:i/>
          <w:iCs/>
          <w:sz w:val="24"/>
          <w:szCs w:val="24"/>
        </w:rPr>
        <w:t>Journal of Public Economics</w:t>
      </w:r>
      <w:r w:rsidRPr="00F21940">
        <w:rPr>
          <w:rFonts w:ascii="Times New Roman" w:hAnsi="Times New Roman" w:cs="Times New Roman"/>
          <w:sz w:val="24"/>
          <w:szCs w:val="24"/>
        </w:rPr>
        <w:t>, 71 (3), 313-34.</w:t>
      </w:r>
    </w:p>
    <w:p w:rsidR="00197294" w:rsidRPr="00F21940" w:rsidRDefault="00197294" w:rsidP="00197294">
      <w:pPr>
        <w:widowControl w:val="0"/>
        <w:spacing w:after="0" w:line="240" w:lineRule="auto"/>
        <w:rPr>
          <w:rFonts w:ascii="Times New Roman" w:hAnsi="Times New Roman" w:cs="Times New Roman"/>
          <w:sz w:val="24"/>
          <w:szCs w:val="24"/>
        </w:rPr>
      </w:pPr>
    </w:p>
    <w:p w:rsidR="00197294" w:rsidRPr="00F21940" w:rsidRDefault="00197294" w:rsidP="00197294">
      <w:pPr>
        <w:widowControl w:val="0"/>
        <w:spacing w:after="0" w:line="240" w:lineRule="auto"/>
        <w:rPr>
          <w:rFonts w:ascii="Times New Roman" w:hAnsi="Times New Roman" w:cs="Times New Roman"/>
          <w:sz w:val="24"/>
          <w:szCs w:val="24"/>
        </w:rPr>
      </w:pPr>
      <w:r w:rsidRPr="00F21940">
        <w:rPr>
          <w:rFonts w:ascii="Times New Roman" w:hAnsi="Times New Roman" w:cs="Times New Roman"/>
          <w:sz w:val="24"/>
          <w:szCs w:val="24"/>
        </w:rPr>
        <w:t xml:space="preserve">Diaz, III, Julian (1990).  “How Appraisers Do Their Work: A Test of the Appraisal Process and the </w:t>
      </w:r>
      <w:r w:rsidRPr="00F21940">
        <w:rPr>
          <w:rFonts w:ascii="Times New Roman" w:hAnsi="Times New Roman" w:cs="Times New Roman"/>
          <w:sz w:val="24"/>
          <w:szCs w:val="24"/>
        </w:rPr>
        <w:lastRenderedPageBreak/>
        <w:t xml:space="preserve">Development of a Descriptive Model”.  </w:t>
      </w:r>
      <w:r w:rsidRPr="00F21940">
        <w:rPr>
          <w:rFonts w:ascii="Times New Roman" w:hAnsi="Times New Roman" w:cs="Times New Roman"/>
          <w:i/>
          <w:sz w:val="24"/>
          <w:szCs w:val="24"/>
        </w:rPr>
        <w:t>The Journal of Real Estate Research</w:t>
      </w:r>
      <w:r w:rsidRPr="00F21940">
        <w:rPr>
          <w:rFonts w:ascii="Times New Roman" w:hAnsi="Times New Roman" w:cs="Times New Roman"/>
          <w:sz w:val="24"/>
          <w:szCs w:val="24"/>
        </w:rPr>
        <w:t>, 5 (1), 1-15.</w:t>
      </w:r>
    </w:p>
    <w:p w:rsidR="00197294" w:rsidRPr="00F21940" w:rsidRDefault="00197294" w:rsidP="00197294">
      <w:pPr>
        <w:widowControl w:val="0"/>
        <w:spacing w:after="0" w:line="240" w:lineRule="auto"/>
        <w:rPr>
          <w:rFonts w:ascii="Times New Roman" w:hAnsi="Times New Roman" w:cs="Times New Roman"/>
          <w:sz w:val="24"/>
          <w:szCs w:val="24"/>
        </w:rPr>
      </w:pPr>
    </w:p>
    <w:p w:rsidR="00197294" w:rsidRPr="00F21940" w:rsidRDefault="00197294" w:rsidP="00197294">
      <w:pPr>
        <w:widowControl w:val="0"/>
        <w:spacing w:after="0" w:line="240" w:lineRule="auto"/>
        <w:rPr>
          <w:rFonts w:ascii="Times New Roman" w:hAnsi="Times New Roman" w:cs="Times New Roman"/>
          <w:sz w:val="24"/>
          <w:szCs w:val="24"/>
        </w:rPr>
      </w:pPr>
      <w:r w:rsidRPr="00F21940">
        <w:rPr>
          <w:rStyle w:val="Emphasis"/>
          <w:rFonts w:ascii="Times New Roman" w:hAnsi="Times New Roman" w:cs="Times New Roman"/>
          <w:i w:val="0"/>
          <w:sz w:val="24"/>
          <w:szCs w:val="24"/>
        </w:rPr>
        <w:t>Doerner, William M. and Keith R. Ihlanfeldt (2011).  “House Prices and Local Government Revenues”.</w:t>
      </w:r>
      <w:r w:rsidRPr="00F21940">
        <w:rPr>
          <w:rStyle w:val="Emphasis"/>
          <w:rFonts w:ascii="Times New Roman" w:hAnsi="Times New Roman" w:cs="Times New Roman"/>
          <w:sz w:val="24"/>
          <w:szCs w:val="24"/>
        </w:rPr>
        <w:t xml:space="preserve">  </w:t>
      </w:r>
      <w:r w:rsidRPr="00F21940">
        <w:rPr>
          <w:rFonts w:ascii="Times New Roman" w:hAnsi="Times New Roman" w:cs="Times New Roman"/>
          <w:i/>
          <w:sz w:val="24"/>
          <w:szCs w:val="24"/>
        </w:rPr>
        <w:t>Regional Science and Urban Economics</w:t>
      </w:r>
      <w:r w:rsidRPr="00F21940">
        <w:rPr>
          <w:rFonts w:ascii="Times New Roman" w:hAnsi="Times New Roman" w:cs="Times New Roman"/>
          <w:sz w:val="24"/>
          <w:szCs w:val="24"/>
        </w:rPr>
        <w:t xml:space="preserve">, 41 (4), </w:t>
      </w:r>
      <w:r w:rsidR="003B2785">
        <w:rPr>
          <w:rFonts w:ascii="Times New Roman" w:hAnsi="Times New Roman" w:cs="Times New Roman"/>
          <w:sz w:val="24"/>
          <w:szCs w:val="24"/>
        </w:rPr>
        <w:t>332-342</w:t>
      </w:r>
      <w:r w:rsidRPr="00F21940">
        <w:rPr>
          <w:rFonts w:ascii="Times New Roman" w:hAnsi="Times New Roman" w:cs="Times New Roman"/>
          <w:sz w:val="24"/>
          <w:szCs w:val="24"/>
        </w:rPr>
        <w:t>.</w:t>
      </w:r>
    </w:p>
    <w:p w:rsidR="00197294" w:rsidRPr="00F21940" w:rsidRDefault="00197294" w:rsidP="00197294">
      <w:pPr>
        <w:widowControl w:val="0"/>
        <w:spacing w:after="0" w:line="240" w:lineRule="auto"/>
        <w:rPr>
          <w:rFonts w:ascii="Times New Roman" w:hAnsi="Times New Roman" w:cs="Times New Roman"/>
          <w:sz w:val="24"/>
          <w:szCs w:val="24"/>
        </w:rPr>
      </w:pP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r w:rsidRPr="00F21940">
        <w:rPr>
          <w:rFonts w:ascii="Times New Roman" w:hAnsi="Times New Roman" w:cs="Times New Roman"/>
          <w:sz w:val="24"/>
          <w:szCs w:val="24"/>
        </w:rPr>
        <w:t xml:space="preserve">Dye, Richard F. and Therese J. McGuire (1997).  </w:t>
      </w:r>
      <w:r w:rsidRPr="00F21940">
        <w:rPr>
          <w:rFonts w:ascii="Times New Roman" w:hAnsi="Times New Roman" w:cs="Times New Roman"/>
          <w:color w:val="000000" w:themeColor="text1"/>
          <w:sz w:val="24"/>
          <w:szCs w:val="24"/>
        </w:rPr>
        <w:t>“</w:t>
      </w:r>
      <w:hyperlink r:id="rId12" w:history="1">
        <w:r w:rsidRPr="00F21940">
          <w:rPr>
            <w:rStyle w:val="Hyperlink"/>
            <w:rFonts w:ascii="Times New Roman" w:hAnsi="Times New Roman" w:cs="Times New Roman"/>
            <w:bCs/>
            <w:color w:val="000000" w:themeColor="text1"/>
            <w:sz w:val="24"/>
            <w:szCs w:val="24"/>
            <w:u w:val="none"/>
          </w:rPr>
          <w:t>The Effect of Property Tax Limitation Measures on Local Government Fiscal Behavior</w:t>
        </w:r>
      </w:hyperlink>
      <w:r w:rsidRPr="00F21940">
        <w:rPr>
          <w:rFonts w:ascii="Times New Roman" w:hAnsi="Times New Roman" w:cs="Times New Roman"/>
          <w:color w:val="000000" w:themeColor="text1"/>
          <w:sz w:val="24"/>
          <w:szCs w:val="24"/>
        </w:rPr>
        <w:t xml:space="preserve">”.  </w:t>
      </w:r>
      <w:hyperlink r:id="rId13" w:history="1">
        <w:r w:rsidRPr="00F21940">
          <w:rPr>
            <w:rStyle w:val="Hyperlink"/>
            <w:rFonts w:ascii="Times New Roman" w:hAnsi="Times New Roman" w:cs="Times New Roman"/>
            <w:i/>
            <w:color w:val="000000" w:themeColor="text1"/>
            <w:sz w:val="24"/>
            <w:szCs w:val="24"/>
            <w:u w:val="none"/>
          </w:rPr>
          <w:t>Journal of Public Economics</w:t>
        </w:r>
      </w:hyperlink>
      <w:r w:rsidRPr="00F21940">
        <w:rPr>
          <w:rFonts w:ascii="Times New Roman" w:hAnsi="Times New Roman" w:cs="Times New Roman"/>
          <w:color w:val="000000" w:themeColor="text1"/>
          <w:sz w:val="24"/>
          <w:szCs w:val="24"/>
        </w:rPr>
        <w:t>, 66 (3), 469-487.</w:t>
      </w: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r w:rsidRPr="00F21940">
        <w:rPr>
          <w:rFonts w:ascii="Times New Roman" w:hAnsi="Times New Roman" w:cs="Times New Roman"/>
          <w:sz w:val="24"/>
          <w:szCs w:val="24"/>
        </w:rPr>
        <w:t>Dye, Richard F., Therese McGuire, and Daniel P. McMillen (2005).  “</w:t>
      </w:r>
      <w:r w:rsidRPr="00F21940">
        <w:rPr>
          <w:rFonts w:ascii="Times New Roman" w:hAnsi="Times New Roman" w:cs="Times New Roman"/>
          <w:bCs/>
          <w:sz w:val="24"/>
          <w:szCs w:val="24"/>
        </w:rPr>
        <w:t>Are Property Tax Limitations More Binding over Time?</w:t>
      </w:r>
      <w:r w:rsidRPr="00F21940">
        <w:rPr>
          <w:rFonts w:ascii="Times New Roman" w:hAnsi="Times New Roman" w:cs="Times New Roman"/>
          <w:sz w:val="24"/>
          <w:szCs w:val="24"/>
        </w:rPr>
        <w:t xml:space="preserve">”  </w:t>
      </w:r>
      <w:r w:rsidRPr="00F21940">
        <w:rPr>
          <w:rFonts w:ascii="Times New Roman" w:hAnsi="Times New Roman" w:cs="Times New Roman"/>
          <w:i/>
          <w:iCs/>
          <w:sz w:val="24"/>
          <w:szCs w:val="24"/>
        </w:rPr>
        <w:t>National Tax Journal</w:t>
      </w:r>
      <w:r w:rsidRPr="00F21940">
        <w:rPr>
          <w:rFonts w:ascii="Times New Roman" w:hAnsi="Times New Roman" w:cs="Times New Roman"/>
          <w:iCs/>
          <w:sz w:val="24"/>
          <w:szCs w:val="24"/>
        </w:rPr>
        <w:t xml:space="preserve">, </w:t>
      </w:r>
      <w:r w:rsidRPr="00F21940">
        <w:rPr>
          <w:rFonts w:ascii="Times New Roman" w:hAnsi="Times New Roman" w:cs="Times New Roman"/>
          <w:sz w:val="24"/>
          <w:szCs w:val="24"/>
        </w:rPr>
        <w:t>58 (2), 215-225.</w:t>
      </w: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p>
    <w:p w:rsidR="00197294" w:rsidRDefault="00197294" w:rsidP="00197294">
      <w:pPr>
        <w:widowControl w:val="0"/>
        <w:spacing w:after="0" w:line="240" w:lineRule="auto"/>
        <w:rPr>
          <w:rFonts w:ascii="Times New Roman" w:hAnsi="Times New Roman" w:cs="Times New Roman"/>
          <w:sz w:val="24"/>
          <w:szCs w:val="24"/>
        </w:rPr>
      </w:pPr>
      <w:r w:rsidRPr="00F21940">
        <w:rPr>
          <w:rFonts w:ascii="Times New Roman" w:hAnsi="Times New Roman" w:cs="Times New Roman"/>
          <w:sz w:val="24"/>
          <w:szCs w:val="24"/>
        </w:rPr>
        <w:t xml:space="preserve">Dye, Richard F., Daniel P. McMillen, and David F. Merriman (2006).  “Illinois’ Response to Rising Residential Property Values: An Assessment Growth Cap in Cook County”.  </w:t>
      </w:r>
      <w:r w:rsidRPr="00F21940">
        <w:rPr>
          <w:rFonts w:ascii="Times New Roman" w:hAnsi="Times New Roman" w:cs="Times New Roman"/>
          <w:i/>
          <w:sz w:val="24"/>
          <w:szCs w:val="24"/>
        </w:rPr>
        <w:t>National Tax Journal</w:t>
      </w:r>
      <w:r w:rsidRPr="00F21940">
        <w:rPr>
          <w:rFonts w:ascii="Times New Roman" w:hAnsi="Times New Roman" w:cs="Times New Roman"/>
          <w:sz w:val="24"/>
          <w:szCs w:val="24"/>
        </w:rPr>
        <w:t>, 59 (3), 707-716.</w:t>
      </w:r>
    </w:p>
    <w:p w:rsidR="00865F57" w:rsidRDefault="00865F57" w:rsidP="00197294">
      <w:pPr>
        <w:widowControl w:val="0"/>
        <w:spacing w:after="0" w:line="240" w:lineRule="auto"/>
        <w:rPr>
          <w:rFonts w:ascii="Times New Roman" w:hAnsi="Times New Roman" w:cs="Times New Roman"/>
          <w:sz w:val="24"/>
          <w:szCs w:val="24"/>
        </w:rPr>
      </w:pPr>
    </w:p>
    <w:p w:rsidR="00197294" w:rsidRPr="00865F57" w:rsidRDefault="00865F57" w:rsidP="00865F57">
      <w:pPr>
        <w:rPr>
          <w:rFonts w:ascii="Times New Roman" w:hAnsi="Times New Roman" w:cs="Times New Roman"/>
          <w:color w:val="000000" w:themeColor="text1"/>
          <w:sz w:val="24"/>
          <w:szCs w:val="24"/>
        </w:rPr>
      </w:pPr>
      <w:r>
        <w:rPr>
          <w:rFonts w:ascii="Times New Roman" w:hAnsi="Times New Roman" w:cs="Times New Roman"/>
          <w:sz w:val="24"/>
          <w:szCs w:val="24"/>
        </w:rPr>
        <w:t xml:space="preserve">Follain, </w:t>
      </w:r>
      <w:r w:rsidRPr="00865F57">
        <w:rPr>
          <w:rFonts w:ascii="Times New Roman" w:hAnsi="Times New Roman" w:cs="Times New Roman"/>
          <w:sz w:val="24"/>
          <w:szCs w:val="24"/>
        </w:rPr>
        <w:t xml:space="preserve">James R. and Seth </w:t>
      </w:r>
      <w:r>
        <w:rPr>
          <w:rFonts w:ascii="Times New Roman" w:hAnsi="Times New Roman" w:cs="Times New Roman"/>
          <w:sz w:val="24"/>
          <w:szCs w:val="24"/>
        </w:rPr>
        <w:t xml:space="preserve">H. </w:t>
      </w:r>
      <w:r w:rsidRPr="00865F57">
        <w:rPr>
          <w:rFonts w:ascii="Times New Roman" w:hAnsi="Times New Roman" w:cs="Times New Roman"/>
          <w:sz w:val="24"/>
          <w:szCs w:val="24"/>
        </w:rPr>
        <w:t>Giertz (2013). “</w:t>
      </w:r>
      <w:r w:rsidRPr="00865F57">
        <w:rPr>
          <w:rFonts w:ascii="Times New Roman" w:hAnsi="Times New Roman" w:cs="Times New Roman"/>
          <w:bCs/>
          <w:sz w:val="24"/>
          <w:szCs w:val="24"/>
        </w:rPr>
        <w:t>US House Price Bubbles from 1980-2010: The Role of Local Market Conditions.</w:t>
      </w:r>
      <w:r w:rsidRPr="00865F57">
        <w:rPr>
          <w:rFonts w:ascii="Times New Roman" w:hAnsi="Times New Roman" w:cs="Times New Roman"/>
          <w:sz w:val="24"/>
          <w:szCs w:val="24"/>
        </w:rPr>
        <w:t>”</w:t>
      </w:r>
      <w:r>
        <w:rPr>
          <w:rFonts w:ascii="Times New Roman" w:hAnsi="Times New Roman" w:cs="Times New Roman"/>
          <w:sz w:val="24"/>
          <w:szCs w:val="24"/>
        </w:rPr>
        <w:t xml:space="preserve">  The Nelson A. Rockefeller Institute of Government Working Paper.  Albany, NY.</w:t>
      </w:r>
    </w:p>
    <w:p w:rsidR="00B655CA" w:rsidRPr="00B655CA" w:rsidRDefault="00B655CA" w:rsidP="00197294">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Frame, W. Scott (2010).  “Estimating the Effect of Mortgage Foreclosures on Nearby Property Values: A Critical Review of the Literature”.  </w:t>
      </w:r>
      <w:r>
        <w:rPr>
          <w:rFonts w:ascii="Times New Roman" w:hAnsi="Times New Roman" w:cs="Times New Roman"/>
          <w:i/>
          <w:color w:val="000000" w:themeColor="text1"/>
          <w:sz w:val="24"/>
          <w:szCs w:val="24"/>
        </w:rPr>
        <w:t>Economic Review</w:t>
      </w:r>
      <w:r>
        <w:rPr>
          <w:rFonts w:ascii="Times New Roman" w:hAnsi="Times New Roman" w:cs="Times New Roman"/>
          <w:color w:val="000000" w:themeColor="text1"/>
          <w:sz w:val="24"/>
          <w:szCs w:val="24"/>
        </w:rPr>
        <w:t>, Federal Reserve Bank of Atlanta,  95 (3)</w:t>
      </w:r>
      <w:r w:rsidR="00084914">
        <w:rPr>
          <w:rFonts w:ascii="Times New Roman" w:hAnsi="Times New Roman" w:cs="Times New Roman"/>
          <w:color w:val="000000" w:themeColor="text1"/>
          <w:sz w:val="24"/>
          <w:szCs w:val="24"/>
        </w:rPr>
        <w:t>, 1-9.</w:t>
      </w:r>
    </w:p>
    <w:p w:rsidR="00B655CA" w:rsidRPr="00F21940" w:rsidRDefault="00B655CA" w:rsidP="00197294">
      <w:pPr>
        <w:widowControl w:val="0"/>
        <w:spacing w:after="0" w:line="240" w:lineRule="auto"/>
        <w:rPr>
          <w:rFonts w:ascii="Times New Roman" w:hAnsi="Times New Roman" w:cs="Times New Roman"/>
          <w:color w:val="000000" w:themeColor="text1"/>
          <w:sz w:val="24"/>
          <w:szCs w:val="24"/>
        </w:rPr>
      </w:pPr>
    </w:p>
    <w:p w:rsidR="006A21DF" w:rsidRPr="006A21DF" w:rsidRDefault="006A21DF" w:rsidP="006A21DF">
      <w:pPr>
        <w:spacing w:after="0"/>
        <w:rPr>
          <w:rFonts w:ascii="Times New Roman" w:hAnsi="Times New Roman"/>
          <w:sz w:val="24"/>
        </w:rPr>
      </w:pPr>
      <w:r w:rsidRPr="006A21DF">
        <w:rPr>
          <w:rFonts w:ascii="Times New Roman" w:hAnsi="Times New Roman"/>
          <w:sz w:val="24"/>
        </w:rPr>
        <w:t>Gerarid, Kristopher, Eric Rosenblatt, Paul S. Willen, and Vincent Yao (2012). “Foreclosure Externalities: Some New Evidence.” Working Paper 18353, National Bureau of Economic Research.</w:t>
      </w:r>
    </w:p>
    <w:p w:rsidR="006A21DF" w:rsidRPr="006A21DF" w:rsidRDefault="006A21DF" w:rsidP="006A21DF">
      <w:pPr>
        <w:spacing w:after="0"/>
        <w:rPr>
          <w:rFonts w:ascii="Times New Roman" w:hAnsi="Times New Roman"/>
          <w:sz w:val="24"/>
        </w:rPr>
      </w:pP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r w:rsidRPr="00F21940">
        <w:rPr>
          <w:rFonts w:ascii="Times New Roman" w:hAnsi="Times New Roman" w:cs="Times New Roman"/>
          <w:sz w:val="24"/>
          <w:szCs w:val="24"/>
        </w:rPr>
        <w:t>Haveman, Mark and Terri A. Sexton (2008).  “Property Tax Assessment Limits: Lessons from Thirty Years of Experience”.  Policy Focus Report, Lincoln Institute of Land Policy.  Boston, MA.</w:t>
      </w: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p>
    <w:p w:rsidR="006A21DF" w:rsidRPr="006A21DF" w:rsidRDefault="006A21DF" w:rsidP="006A21DF">
      <w:pPr>
        <w:spacing w:after="0"/>
        <w:rPr>
          <w:rFonts w:ascii="Times New Roman" w:hAnsi="Times New Roman"/>
          <w:sz w:val="24"/>
        </w:rPr>
      </w:pPr>
      <w:r w:rsidRPr="006A21DF">
        <w:rPr>
          <w:rFonts w:ascii="Times New Roman" w:hAnsi="Times New Roman"/>
          <w:sz w:val="24"/>
        </w:rPr>
        <w:t xml:space="preserve">Immergluck, Dan, and Geoff Smith (2006). “The External Costs of Foreclosure: The Impact of Single-family Mortgage Foreclosures on Property Values.” </w:t>
      </w:r>
      <w:r w:rsidRPr="006A21DF">
        <w:rPr>
          <w:rFonts w:ascii="Times New Roman" w:hAnsi="Times New Roman"/>
          <w:i/>
          <w:sz w:val="24"/>
        </w:rPr>
        <w:t>Housing Policy Debate</w:t>
      </w:r>
      <w:r w:rsidRPr="006A21DF">
        <w:rPr>
          <w:rFonts w:ascii="Times New Roman" w:hAnsi="Times New Roman"/>
          <w:sz w:val="24"/>
        </w:rPr>
        <w:t xml:space="preserve"> 17(1): 57-79.</w:t>
      </w:r>
    </w:p>
    <w:p w:rsidR="006A21DF" w:rsidRPr="006A21DF" w:rsidRDefault="006A21DF" w:rsidP="006A21DF">
      <w:pPr>
        <w:spacing w:after="0"/>
        <w:rPr>
          <w:rFonts w:ascii="Times New Roman" w:hAnsi="Times New Roman"/>
          <w:sz w:val="24"/>
        </w:rPr>
      </w:pPr>
    </w:p>
    <w:p w:rsidR="00474AAB" w:rsidRPr="00F21940" w:rsidRDefault="00474AAB" w:rsidP="00474AAB">
      <w:pPr>
        <w:widowControl w:val="0"/>
        <w:spacing w:after="0" w:line="240" w:lineRule="auto"/>
        <w:rPr>
          <w:rFonts w:ascii="Times New Roman" w:hAnsi="Times New Roman" w:cs="Times New Roman"/>
          <w:sz w:val="24"/>
          <w:szCs w:val="24"/>
        </w:rPr>
      </w:pPr>
      <w:r w:rsidRPr="00F21940">
        <w:rPr>
          <w:rFonts w:ascii="Times New Roman" w:hAnsi="Times New Roman" w:cs="Times New Roman"/>
          <w:sz w:val="24"/>
          <w:szCs w:val="24"/>
        </w:rPr>
        <w:t>Jaconetty, Thomas A. (2011).  “How Do Foreclosures Affect Real Property Tax Valuation?  And What Can We Do About It?”  Working Paper presented at National Conference of State Tax Judges, Lincoln Institute of Land Policy, Cambridge, MA.</w:t>
      </w:r>
    </w:p>
    <w:p w:rsidR="00474AAB" w:rsidRPr="00F21940" w:rsidRDefault="00474AAB" w:rsidP="00474AAB">
      <w:pPr>
        <w:widowControl w:val="0"/>
        <w:spacing w:after="0" w:line="240" w:lineRule="auto"/>
        <w:rPr>
          <w:rFonts w:ascii="Times New Roman" w:hAnsi="Times New Roman" w:cs="Times New Roman"/>
          <w:sz w:val="24"/>
          <w:szCs w:val="24"/>
        </w:rPr>
      </w:pP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r w:rsidRPr="00F21940">
        <w:rPr>
          <w:rFonts w:ascii="Times New Roman" w:hAnsi="Times New Roman" w:cs="Times New Roman"/>
          <w:sz w:val="24"/>
          <w:szCs w:val="24"/>
        </w:rPr>
        <w:t xml:space="preserve">Ladd, Helen and Julie Boatright Wilson (1982).  “Why Voters Support Tax Limitations: Evidence from Massachusetts’ Proposition 2½”.  </w:t>
      </w:r>
      <w:r w:rsidRPr="00F21940">
        <w:rPr>
          <w:rFonts w:ascii="Times New Roman" w:hAnsi="Times New Roman" w:cs="Times New Roman"/>
          <w:i/>
          <w:iCs/>
          <w:sz w:val="24"/>
          <w:szCs w:val="24"/>
        </w:rPr>
        <w:t>National Tax Journal</w:t>
      </w:r>
      <w:r w:rsidRPr="00F21940">
        <w:rPr>
          <w:rFonts w:ascii="Times New Roman" w:hAnsi="Times New Roman" w:cs="Times New Roman"/>
          <w:iCs/>
          <w:sz w:val="24"/>
          <w:szCs w:val="24"/>
        </w:rPr>
        <w:t xml:space="preserve">, </w:t>
      </w:r>
      <w:r w:rsidRPr="00F21940">
        <w:rPr>
          <w:rFonts w:ascii="Times New Roman" w:hAnsi="Times New Roman" w:cs="Times New Roman"/>
          <w:sz w:val="24"/>
          <w:szCs w:val="24"/>
        </w:rPr>
        <w:t>35 (2), 121-148.</w:t>
      </w: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p>
    <w:p w:rsidR="006A21DF" w:rsidRPr="006A21DF" w:rsidRDefault="006A21DF" w:rsidP="006A21DF">
      <w:pPr>
        <w:spacing w:after="0"/>
        <w:rPr>
          <w:rFonts w:ascii="Times New Roman" w:hAnsi="Times New Roman"/>
          <w:sz w:val="24"/>
        </w:rPr>
      </w:pPr>
      <w:r w:rsidRPr="006A21DF">
        <w:rPr>
          <w:rFonts w:ascii="Times New Roman" w:hAnsi="Times New Roman"/>
          <w:sz w:val="24"/>
        </w:rPr>
        <w:t xml:space="preserve">Leonard, Tammy, and James Murdoch (2009). “The Neighborhood Effects of Foreclosure.” </w:t>
      </w:r>
      <w:r w:rsidRPr="006A21DF">
        <w:rPr>
          <w:rFonts w:ascii="Times New Roman" w:hAnsi="Times New Roman"/>
          <w:i/>
          <w:sz w:val="24"/>
        </w:rPr>
        <w:t>Journal of Geographical Systems</w:t>
      </w:r>
      <w:r w:rsidRPr="006A21DF">
        <w:rPr>
          <w:rFonts w:ascii="Times New Roman" w:hAnsi="Times New Roman"/>
          <w:sz w:val="24"/>
        </w:rPr>
        <w:t xml:space="preserve"> 11(4): 317-32.</w:t>
      </w:r>
    </w:p>
    <w:p w:rsidR="006A21DF" w:rsidRPr="006A21DF" w:rsidRDefault="006A21DF" w:rsidP="006A21DF">
      <w:pPr>
        <w:spacing w:after="0"/>
        <w:rPr>
          <w:rFonts w:ascii="Times New Roman" w:hAnsi="Times New Roman"/>
          <w:sz w:val="24"/>
        </w:rPr>
      </w:pPr>
    </w:p>
    <w:p w:rsidR="006A21DF" w:rsidRPr="006A21DF" w:rsidRDefault="006A21DF" w:rsidP="006A21DF">
      <w:pPr>
        <w:spacing w:after="0"/>
        <w:rPr>
          <w:rFonts w:ascii="Times New Roman" w:hAnsi="Times New Roman"/>
          <w:sz w:val="24"/>
        </w:rPr>
      </w:pPr>
      <w:r w:rsidRPr="006A21DF">
        <w:rPr>
          <w:rFonts w:ascii="Times New Roman" w:hAnsi="Times New Roman"/>
          <w:sz w:val="24"/>
        </w:rPr>
        <w:t xml:space="preserve">Lin, Zhengou, Eric Rosenblatt, and Vincent Yao (2009). “Spillover Effects of Foreclosures on Neighborhood Property Values.” </w:t>
      </w:r>
      <w:r w:rsidRPr="006A21DF">
        <w:rPr>
          <w:rFonts w:ascii="Times New Roman" w:hAnsi="Times New Roman"/>
          <w:i/>
          <w:sz w:val="24"/>
        </w:rPr>
        <w:t>Journal of Real Estate Finance and Economics</w:t>
      </w:r>
      <w:r w:rsidRPr="006A21DF">
        <w:rPr>
          <w:rFonts w:ascii="Times New Roman" w:hAnsi="Times New Roman"/>
          <w:sz w:val="24"/>
        </w:rPr>
        <w:t xml:space="preserve"> 38(4): 387-407.</w:t>
      </w:r>
    </w:p>
    <w:p w:rsidR="006A21DF" w:rsidRDefault="006A21DF" w:rsidP="00197294">
      <w:pPr>
        <w:widowControl w:val="0"/>
        <w:spacing w:after="0" w:line="240" w:lineRule="auto"/>
        <w:rPr>
          <w:rFonts w:ascii="Times New Roman" w:hAnsi="Times New Roman" w:cs="Times New Roman"/>
          <w:sz w:val="24"/>
          <w:szCs w:val="24"/>
        </w:rPr>
      </w:pP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r w:rsidRPr="00F21940">
        <w:rPr>
          <w:rFonts w:ascii="Times New Roman" w:hAnsi="Times New Roman" w:cs="Times New Roman"/>
          <w:sz w:val="24"/>
          <w:szCs w:val="24"/>
        </w:rPr>
        <w:lastRenderedPageBreak/>
        <w:t xml:space="preserve">Lutz, Byron (2008). “The Connection Between House Price Appreciation and Property Tax Revenues”.  </w:t>
      </w:r>
      <w:r w:rsidRPr="00F21940">
        <w:rPr>
          <w:rFonts w:ascii="Times New Roman" w:hAnsi="Times New Roman" w:cs="Times New Roman"/>
          <w:i/>
          <w:sz w:val="24"/>
          <w:szCs w:val="24"/>
        </w:rPr>
        <w:t>National Tax Journal</w:t>
      </w:r>
      <w:r w:rsidRPr="00F21940">
        <w:rPr>
          <w:rFonts w:ascii="Times New Roman" w:hAnsi="Times New Roman" w:cs="Times New Roman"/>
          <w:sz w:val="24"/>
          <w:szCs w:val="24"/>
        </w:rPr>
        <w:t xml:space="preserve"> 61 (3): 555-572.</w:t>
      </w: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r w:rsidRPr="00F21940">
        <w:rPr>
          <w:rFonts w:ascii="Times New Roman" w:hAnsi="Times New Roman" w:cs="Times New Roman"/>
          <w:sz w:val="24"/>
          <w:szCs w:val="24"/>
        </w:rPr>
        <w:t>Lutz, Byron, Raven Molloy, and Hui Shan (2011).  “</w:t>
      </w:r>
      <w:r w:rsidRPr="00F21940">
        <w:rPr>
          <w:rFonts w:ascii="Times New Roman" w:hAnsi="Times New Roman" w:cs="Times New Roman"/>
          <w:bCs/>
          <w:sz w:val="24"/>
          <w:szCs w:val="24"/>
        </w:rPr>
        <w:t xml:space="preserve">The Housing Crisis and State and Local Government Tax Revenue: Five Channels”.  </w:t>
      </w:r>
      <w:r w:rsidRPr="00F21940">
        <w:rPr>
          <w:rFonts w:ascii="Times New Roman" w:hAnsi="Times New Roman" w:cs="Times New Roman"/>
          <w:i/>
          <w:sz w:val="24"/>
          <w:szCs w:val="24"/>
        </w:rPr>
        <w:t>Regional Science and Urban Economics</w:t>
      </w:r>
      <w:r w:rsidRPr="00F21940">
        <w:rPr>
          <w:rFonts w:ascii="Times New Roman" w:hAnsi="Times New Roman" w:cs="Times New Roman"/>
          <w:sz w:val="24"/>
          <w:szCs w:val="24"/>
        </w:rPr>
        <w:t xml:space="preserve">, 41 (4), </w:t>
      </w:r>
      <w:r w:rsidR="003B2785">
        <w:rPr>
          <w:rFonts w:ascii="Times New Roman" w:hAnsi="Times New Roman" w:cs="Times New Roman"/>
          <w:sz w:val="24"/>
          <w:szCs w:val="24"/>
        </w:rPr>
        <w:t>306-319</w:t>
      </w:r>
      <w:r w:rsidRPr="00F21940">
        <w:rPr>
          <w:rFonts w:ascii="Times New Roman" w:eastAsia="Times New Roman" w:hAnsi="Times New Roman" w:cs="Times New Roman"/>
          <w:bCs/>
          <w:sz w:val="24"/>
          <w:szCs w:val="24"/>
        </w:rPr>
        <w:t>.</w:t>
      </w: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r w:rsidRPr="00F21940">
        <w:rPr>
          <w:rFonts w:ascii="Times New Roman" w:hAnsi="Times New Roman" w:cs="Times New Roman"/>
          <w:sz w:val="24"/>
          <w:szCs w:val="24"/>
        </w:rPr>
        <w:t>McAllister, Pat, Andrew Baum, Neil Crosby, Paul Gallimore, and Adelaide Gray (2003).  “Appraiser Behavior</w:t>
      </w:r>
      <w:r w:rsidRPr="00F21940">
        <w:rPr>
          <w:rFonts w:ascii="Times New Roman" w:eastAsia="Times New Roman" w:hAnsi="Times New Roman" w:cs="Times New Roman"/>
          <w:bCs/>
          <w:sz w:val="24"/>
          <w:szCs w:val="24"/>
        </w:rPr>
        <w:t xml:space="preserve"> </w:t>
      </w:r>
      <w:r w:rsidRPr="00F21940">
        <w:rPr>
          <w:rFonts w:ascii="Times New Roman" w:hAnsi="Times New Roman" w:cs="Times New Roman"/>
          <w:sz w:val="24"/>
          <w:szCs w:val="24"/>
        </w:rPr>
        <w:t xml:space="preserve">and Appraisal Smoothing: Some Qualitative and Quantitative Evidence”.  </w:t>
      </w:r>
      <w:r w:rsidRPr="00F21940">
        <w:rPr>
          <w:rFonts w:ascii="Times New Roman" w:hAnsi="Times New Roman" w:cs="Times New Roman"/>
          <w:i/>
          <w:sz w:val="24"/>
          <w:szCs w:val="24"/>
        </w:rPr>
        <w:t>Journal of Property Research</w:t>
      </w:r>
      <w:r w:rsidRPr="00F21940">
        <w:rPr>
          <w:rFonts w:ascii="Times New Roman" w:hAnsi="Times New Roman" w:cs="Times New Roman"/>
          <w:sz w:val="24"/>
          <w:szCs w:val="24"/>
        </w:rPr>
        <w:t>, 20 (3), 261-280.</w:t>
      </w: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r w:rsidRPr="00F21940">
        <w:rPr>
          <w:rFonts w:ascii="Times New Roman" w:hAnsi="Times New Roman" w:cs="Times New Roman"/>
          <w:sz w:val="24"/>
          <w:szCs w:val="24"/>
        </w:rPr>
        <w:t xml:space="preserve">Mikesell, John L. and Daniel R. Mullins (2010).  “State and Local Revenue Yield and Stability in the Great Recession”.  </w:t>
      </w:r>
      <w:r w:rsidRPr="00F21940">
        <w:rPr>
          <w:rFonts w:ascii="Times New Roman" w:hAnsi="Times New Roman" w:cs="Times New Roman"/>
          <w:i/>
          <w:sz w:val="24"/>
          <w:szCs w:val="24"/>
        </w:rPr>
        <w:t>State Tax Notes</w:t>
      </w:r>
      <w:r w:rsidRPr="00F21940">
        <w:rPr>
          <w:rFonts w:ascii="Times New Roman" w:hAnsi="Times New Roman" w:cs="Times New Roman"/>
          <w:sz w:val="24"/>
          <w:szCs w:val="24"/>
        </w:rPr>
        <w:t>, 55 (25 January 2010), 267-274.</w:t>
      </w: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r w:rsidRPr="00F21940">
        <w:rPr>
          <w:rFonts w:ascii="Times New Roman" w:hAnsi="Times New Roman" w:cs="Times New Roman"/>
          <w:sz w:val="24"/>
          <w:szCs w:val="24"/>
        </w:rPr>
        <w:t xml:space="preserve">O’Sullivan, Arthur, Terri A. Sexton, and Steven M. Sheffrin (1995).  </w:t>
      </w:r>
      <w:r w:rsidRPr="00F21940">
        <w:rPr>
          <w:rFonts w:ascii="Times New Roman" w:hAnsi="Times New Roman" w:cs="Times New Roman"/>
          <w:i/>
          <w:iCs/>
          <w:sz w:val="24"/>
          <w:szCs w:val="24"/>
        </w:rPr>
        <w:t xml:space="preserve">Property Taxes and Tax Revolts.  </w:t>
      </w:r>
      <w:r w:rsidRPr="00F21940">
        <w:rPr>
          <w:rFonts w:ascii="Times New Roman" w:hAnsi="Times New Roman" w:cs="Times New Roman"/>
          <w:sz w:val="24"/>
          <w:szCs w:val="24"/>
        </w:rPr>
        <w:t>Cambridge, UK: Cambridge University Press.</w:t>
      </w: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p>
    <w:p w:rsidR="006A21DF" w:rsidRPr="006A21DF" w:rsidRDefault="006A21DF" w:rsidP="006A21DF">
      <w:pPr>
        <w:spacing w:after="0"/>
        <w:rPr>
          <w:rFonts w:ascii="Times New Roman" w:hAnsi="Times New Roman"/>
          <w:sz w:val="24"/>
        </w:rPr>
      </w:pPr>
      <w:r w:rsidRPr="006A21DF">
        <w:rPr>
          <w:rFonts w:ascii="Times New Roman" w:hAnsi="Times New Roman"/>
          <w:sz w:val="24"/>
        </w:rPr>
        <w:t xml:space="preserve">Pennington-Cross, Anthony (2006). “The Value of Foreclosed Property.” </w:t>
      </w:r>
      <w:r w:rsidRPr="006A21DF">
        <w:rPr>
          <w:rFonts w:ascii="Times New Roman" w:hAnsi="Times New Roman"/>
          <w:i/>
          <w:sz w:val="24"/>
        </w:rPr>
        <w:t>Journal of Real Estate Research</w:t>
      </w:r>
      <w:r w:rsidRPr="006A21DF">
        <w:rPr>
          <w:rFonts w:ascii="Times New Roman" w:hAnsi="Times New Roman"/>
          <w:sz w:val="24"/>
        </w:rPr>
        <w:t xml:space="preserve"> 28(2): 193-214.</w:t>
      </w:r>
    </w:p>
    <w:p w:rsidR="006A21DF" w:rsidRPr="006A21DF" w:rsidRDefault="006A21DF" w:rsidP="006A21DF">
      <w:pPr>
        <w:spacing w:after="0"/>
        <w:rPr>
          <w:rFonts w:ascii="Times New Roman" w:hAnsi="Times New Roman"/>
          <w:sz w:val="24"/>
        </w:rPr>
      </w:pP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r w:rsidRPr="00F21940">
        <w:rPr>
          <w:rFonts w:ascii="Times New Roman" w:hAnsi="Times New Roman" w:cs="Times New Roman"/>
          <w:sz w:val="24"/>
          <w:szCs w:val="24"/>
        </w:rPr>
        <w:t xml:space="preserve">Preston, Anne E., and Casey Ichniowski (1991). “A National Perspective on the Nature and Effects of the Local Property Tax Revolt, 1976-1986”.  </w:t>
      </w:r>
      <w:r w:rsidRPr="00F21940">
        <w:rPr>
          <w:rFonts w:ascii="Times New Roman" w:hAnsi="Times New Roman" w:cs="Times New Roman"/>
          <w:i/>
          <w:iCs/>
          <w:sz w:val="24"/>
          <w:szCs w:val="24"/>
        </w:rPr>
        <w:t>National Tax Journal</w:t>
      </w:r>
      <w:r w:rsidRPr="00F21940">
        <w:rPr>
          <w:rFonts w:ascii="Times New Roman" w:hAnsi="Times New Roman" w:cs="Times New Roman"/>
          <w:iCs/>
          <w:sz w:val="24"/>
          <w:szCs w:val="24"/>
        </w:rPr>
        <w:t>,</w:t>
      </w:r>
      <w:r w:rsidRPr="00F21940">
        <w:rPr>
          <w:rFonts w:ascii="Times New Roman" w:hAnsi="Times New Roman" w:cs="Times New Roman"/>
          <w:i/>
          <w:iCs/>
          <w:sz w:val="24"/>
          <w:szCs w:val="24"/>
        </w:rPr>
        <w:t xml:space="preserve"> </w:t>
      </w:r>
      <w:r w:rsidRPr="00F21940">
        <w:rPr>
          <w:rFonts w:ascii="Times New Roman" w:hAnsi="Times New Roman" w:cs="Times New Roman"/>
          <w:sz w:val="24"/>
          <w:szCs w:val="24"/>
        </w:rPr>
        <w:t>44 (2), 123-145.</w:t>
      </w: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r w:rsidRPr="00F21940">
        <w:rPr>
          <w:rFonts w:ascii="Times New Roman" w:hAnsi="Times New Roman" w:cs="Times New Roman"/>
          <w:sz w:val="24"/>
          <w:szCs w:val="24"/>
        </w:rPr>
        <w:t xml:space="preserve">Quan, Daniel. C. and John M. Quigley (1991).  “Price Formation and the Appraisal Function in Real Estate Markets”.  </w:t>
      </w:r>
      <w:r w:rsidRPr="00F21940">
        <w:rPr>
          <w:rFonts w:ascii="Times New Roman" w:hAnsi="Times New Roman" w:cs="Times New Roman"/>
          <w:i/>
          <w:sz w:val="24"/>
          <w:szCs w:val="24"/>
        </w:rPr>
        <w:t>The Journal of Real Estate Finance and Economics</w:t>
      </w:r>
      <w:r w:rsidRPr="00F21940">
        <w:rPr>
          <w:rFonts w:ascii="Times New Roman" w:hAnsi="Times New Roman" w:cs="Times New Roman"/>
          <w:sz w:val="24"/>
          <w:szCs w:val="24"/>
        </w:rPr>
        <w:t>, 4 (2), 127-146.</w:t>
      </w: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r w:rsidRPr="00F21940">
        <w:rPr>
          <w:rFonts w:ascii="Times New Roman" w:hAnsi="Times New Roman" w:cs="Times New Roman"/>
          <w:color w:val="000000" w:themeColor="text1"/>
          <w:sz w:val="24"/>
          <w:szCs w:val="24"/>
        </w:rPr>
        <w:t>Rubenstein, Ross and David L. Sjoquist (2003).</w:t>
      </w:r>
      <w:r w:rsidRPr="00F21940">
        <w:rPr>
          <w:rStyle w:val="Emphasis"/>
          <w:rFonts w:ascii="Times New Roman" w:hAnsi="Times New Roman" w:cs="Times New Roman"/>
          <w:color w:val="000000" w:themeColor="text1"/>
          <w:sz w:val="24"/>
          <w:szCs w:val="24"/>
        </w:rPr>
        <w:t xml:space="preserve">  </w:t>
      </w:r>
      <w:r w:rsidRPr="00F21940">
        <w:rPr>
          <w:rStyle w:val="Emphasis"/>
          <w:rFonts w:ascii="Times New Roman" w:eastAsiaTheme="majorEastAsia" w:hAnsi="Times New Roman" w:cs="Times New Roman"/>
          <w:color w:val="000000" w:themeColor="text1"/>
          <w:sz w:val="24"/>
          <w:szCs w:val="24"/>
        </w:rPr>
        <w:t>Financing Georgia's Schools: A Primer</w:t>
      </w:r>
      <w:r w:rsidRPr="00F21940">
        <w:rPr>
          <w:rStyle w:val="Emphasis"/>
          <w:rFonts w:ascii="Times New Roman" w:hAnsi="Times New Roman" w:cs="Times New Roman"/>
          <w:color w:val="000000" w:themeColor="text1"/>
          <w:sz w:val="24"/>
          <w:szCs w:val="24"/>
        </w:rPr>
        <w:t>,</w:t>
      </w:r>
      <w:r w:rsidRPr="00F21940">
        <w:rPr>
          <w:rFonts w:ascii="Times New Roman" w:hAnsi="Times New Roman" w:cs="Times New Roman"/>
          <w:color w:val="000000" w:themeColor="text1"/>
          <w:sz w:val="24"/>
          <w:szCs w:val="24"/>
        </w:rPr>
        <w:t xml:space="preserve"> FRC </w:t>
      </w:r>
      <w:r w:rsidRPr="00F21940">
        <w:rPr>
          <w:rFonts w:ascii="Times New Roman" w:eastAsiaTheme="majorEastAsia" w:hAnsi="Times New Roman" w:cs="Times New Roman"/>
          <w:color w:val="000000" w:themeColor="text1"/>
          <w:sz w:val="24"/>
          <w:szCs w:val="24"/>
        </w:rPr>
        <w:t>Report</w:t>
      </w:r>
      <w:r w:rsidRPr="00F21940">
        <w:rPr>
          <w:rFonts w:ascii="Times New Roman" w:hAnsi="Times New Roman" w:cs="Times New Roman"/>
          <w:color w:val="000000" w:themeColor="text1"/>
          <w:sz w:val="24"/>
          <w:szCs w:val="24"/>
        </w:rPr>
        <w:t xml:space="preserve"> 87.  </w:t>
      </w:r>
      <w:r w:rsidRPr="00F21940">
        <w:rPr>
          <w:rFonts w:ascii="Times New Roman" w:eastAsiaTheme="majorEastAsia" w:hAnsi="Times New Roman" w:cs="Times New Roman"/>
          <w:color w:val="000000" w:themeColor="text1"/>
          <w:sz w:val="24"/>
          <w:szCs w:val="24"/>
        </w:rPr>
        <w:t>Atlanta, GA: Fiscal Research Center, Andrew Young School of Policy Studies, Georgia State University.</w:t>
      </w:r>
    </w:p>
    <w:p w:rsidR="00197294" w:rsidRDefault="00197294" w:rsidP="00197294">
      <w:pPr>
        <w:widowControl w:val="0"/>
        <w:spacing w:after="0" w:line="240" w:lineRule="auto"/>
        <w:rPr>
          <w:rFonts w:ascii="Times New Roman" w:hAnsi="Times New Roman" w:cs="Times New Roman"/>
          <w:color w:val="000000" w:themeColor="text1"/>
          <w:sz w:val="24"/>
          <w:szCs w:val="24"/>
        </w:rPr>
      </w:pPr>
    </w:p>
    <w:p w:rsidR="00B52D5D" w:rsidRDefault="00B52D5D" w:rsidP="00197294">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Ross, Justin M. and Wenli Yan (2011). “Fiscal Illusion from Property Reassessment? An Empirical Test of the Residual View.” Research Paper No. 2011-2-01, </w:t>
      </w:r>
      <w:r w:rsidR="00D00DD3">
        <w:rPr>
          <w:rFonts w:ascii="Times New Roman" w:hAnsi="Times New Roman" w:cs="Times New Roman"/>
          <w:color w:val="000000" w:themeColor="text1"/>
          <w:sz w:val="24"/>
          <w:szCs w:val="24"/>
        </w:rPr>
        <w:t>School of Public and Environmental Affairs, Indiana University.</w:t>
      </w:r>
    </w:p>
    <w:p w:rsidR="00D00DD3" w:rsidRPr="00F21940" w:rsidRDefault="00D00DD3" w:rsidP="00197294">
      <w:pPr>
        <w:widowControl w:val="0"/>
        <w:spacing w:after="0" w:line="240" w:lineRule="auto"/>
        <w:rPr>
          <w:rFonts w:ascii="Times New Roman" w:hAnsi="Times New Roman" w:cs="Times New Roman"/>
          <w:color w:val="000000" w:themeColor="text1"/>
          <w:sz w:val="24"/>
          <w:szCs w:val="24"/>
        </w:rPr>
      </w:pPr>
    </w:p>
    <w:p w:rsidR="006A21DF" w:rsidRPr="006A21DF" w:rsidRDefault="006A21DF" w:rsidP="006A21DF">
      <w:pPr>
        <w:spacing w:after="0"/>
        <w:rPr>
          <w:rFonts w:ascii="Times New Roman" w:hAnsi="Times New Roman"/>
          <w:sz w:val="24"/>
        </w:rPr>
      </w:pPr>
      <w:r w:rsidRPr="006A21DF">
        <w:rPr>
          <w:rFonts w:ascii="Times New Roman" w:hAnsi="Times New Roman"/>
          <w:sz w:val="24"/>
        </w:rPr>
        <w:t xml:space="preserve">Shilling, James, John Benjamin, and C.F. Sirmans (1990). “Estimating Net Realizable Value for Distressed Real Estate.” </w:t>
      </w:r>
      <w:r w:rsidRPr="006A21DF">
        <w:rPr>
          <w:rFonts w:ascii="Times New Roman" w:hAnsi="Times New Roman"/>
          <w:i/>
          <w:sz w:val="24"/>
        </w:rPr>
        <w:t>Journal of Real Estate Research</w:t>
      </w:r>
      <w:r w:rsidRPr="006A21DF">
        <w:rPr>
          <w:rFonts w:ascii="Times New Roman" w:hAnsi="Times New Roman"/>
          <w:sz w:val="24"/>
        </w:rPr>
        <w:t xml:space="preserve"> 5(1): 129-40</w:t>
      </w:r>
    </w:p>
    <w:p w:rsidR="006A21DF" w:rsidRPr="006A21DF" w:rsidRDefault="006A21DF" w:rsidP="006A21DF">
      <w:pPr>
        <w:spacing w:after="0"/>
        <w:rPr>
          <w:rFonts w:ascii="Times New Roman" w:hAnsi="Times New Roman"/>
          <w:sz w:val="24"/>
        </w:rPr>
      </w:pP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r w:rsidRPr="00F21940">
        <w:rPr>
          <w:rStyle w:val="Emphasis"/>
          <w:rFonts w:ascii="Times New Roman" w:hAnsi="Times New Roman" w:cs="Times New Roman"/>
          <w:i w:val="0"/>
          <w:sz w:val="24"/>
          <w:szCs w:val="24"/>
        </w:rPr>
        <w:t xml:space="preserve">Skidmore, Mark and Eric Scorsone (2011).  “Causes and Consequences of Fiscal Stress in Michigan Municipal Governments”. </w:t>
      </w:r>
      <w:r w:rsidRPr="00F21940">
        <w:rPr>
          <w:rFonts w:ascii="Times New Roman" w:hAnsi="Times New Roman" w:cs="Times New Roman"/>
          <w:i/>
          <w:sz w:val="24"/>
          <w:szCs w:val="24"/>
        </w:rPr>
        <w:t xml:space="preserve"> Regional Science and Urban Economics</w:t>
      </w:r>
      <w:r w:rsidRPr="00F21940">
        <w:rPr>
          <w:rFonts w:ascii="Times New Roman" w:hAnsi="Times New Roman" w:cs="Times New Roman"/>
          <w:sz w:val="24"/>
          <w:szCs w:val="24"/>
        </w:rPr>
        <w:t>, 41 (4)</w:t>
      </w:r>
      <w:r w:rsidRPr="00F21940">
        <w:rPr>
          <w:rFonts w:ascii="Times New Roman" w:eastAsia="Times New Roman" w:hAnsi="Times New Roman" w:cs="Times New Roman"/>
          <w:bCs/>
          <w:sz w:val="24"/>
          <w:szCs w:val="24"/>
        </w:rPr>
        <w:t>.</w:t>
      </w: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r w:rsidRPr="00F21940">
        <w:rPr>
          <w:rFonts w:ascii="Times New Roman" w:hAnsi="Times New Roman" w:cs="Times New Roman"/>
          <w:sz w:val="24"/>
          <w:szCs w:val="24"/>
        </w:rPr>
        <w:t xml:space="preserve">Wallin, Bruce A. (2004).  “The Tax Revolt in Massachusetts: Revolution and Reason”.  </w:t>
      </w:r>
      <w:r w:rsidRPr="00F21940">
        <w:rPr>
          <w:rFonts w:ascii="Times New Roman" w:hAnsi="Times New Roman" w:cs="Times New Roman"/>
          <w:i/>
          <w:iCs/>
          <w:sz w:val="24"/>
          <w:szCs w:val="24"/>
        </w:rPr>
        <w:t>Public Budgeting &amp; Finance</w:t>
      </w:r>
      <w:r w:rsidRPr="00F21940">
        <w:rPr>
          <w:rFonts w:ascii="Times New Roman" w:hAnsi="Times New Roman" w:cs="Times New Roman"/>
          <w:sz w:val="24"/>
          <w:szCs w:val="24"/>
        </w:rPr>
        <w:t>, 24 (4), 34-50.</w:t>
      </w:r>
    </w:p>
    <w:p w:rsidR="00197294" w:rsidRPr="00F21940" w:rsidRDefault="00197294" w:rsidP="00197294">
      <w:pPr>
        <w:widowControl w:val="0"/>
        <w:spacing w:after="0" w:line="240" w:lineRule="auto"/>
        <w:rPr>
          <w:rFonts w:ascii="Times New Roman" w:hAnsi="Times New Roman" w:cs="Times New Roman"/>
          <w:color w:val="000000" w:themeColor="text1"/>
          <w:sz w:val="24"/>
          <w:szCs w:val="24"/>
        </w:rPr>
      </w:pPr>
    </w:p>
    <w:p w:rsidR="00197294" w:rsidRPr="00F21940" w:rsidRDefault="00197294" w:rsidP="00197294">
      <w:pPr>
        <w:widowControl w:val="0"/>
        <w:spacing w:after="0" w:line="240" w:lineRule="auto"/>
        <w:rPr>
          <w:rFonts w:ascii="Times New Roman" w:eastAsia="Times New Roman" w:hAnsi="Times New Roman" w:cs="Times New Roman"/>
          <w:bCs/>
          <w:sz w:val="24"/>
          <w:szCs w:val="24"/>
        </w:rPr>
      </w:pPr>
      <w:r w:rsidRPr="00F21940">
        <w:rPr>
          <w:rFonts w:ascii="Times New Roman" w:hAnsi="Times New Roman" w:cs="Times New Roman"/>
          <w:sz w:val="24"/>
          <w:szCs w:val="24"/>
        </w:rPr>
        <w:t>Wallin, Bruce and Jeffery Zabel (2011</w:t>
      </w:r>
      <w:r w:rsidRPr="00F21940">
        <w:rPr>
          <w:rFonts w:ascii="Times New Roman" w:hAnsi="Times New Roman" w:cs="Times New Roman"/>
          <w:i/>
          <w:sz w:val="24"/>
          <w:szCs w:val="24"/>
        </w:rPr>
        <w:t>).  “</w:t>
      </w:r>
      <w:r w:rsidRPr="00F21940">
        <w:rPr>
          <w:rStyle w:val="Emphasis"/>
          <w:rFonts w:ascii="Times New Roman" w:hAnsi="Times New Roman" w:cs="Times New Roman"/>
          <w:i w:val="0"/>
          <w:sz w:val="24"/>
          <w:szCs w:val="24"/>
        </w:rPr>
        <w:t>Property Tax Limitations and Local Fiscal Conditions: The Impact of Proposition 2½ in Massachusetts”.</w:t>
      </w:r>
      <w:r w:rsidRPr="00F21940">
        <w:rPr>
          <w:rStyle w:val="Emphasis"/>
          <w:rFonts w:ascii="Times New Roman" w:hAnsi="Times New Roman" w:cs="Times New Roman"/>
          <w:sz w:val="24"/>
          <w:szCs w:val="24"/>
        </w:rPr>
        <w:t xml:space="preserve"> </w:t>
      </w:r>
      <w:r w:rsidRPr="00F21940">
        <w:rPr>
          <w:bCs/>
        </w:rPr>
        <w:t xml:space="preserve"> </w:t>
      </w:r>
      <w:r w:rsidRPr="00F21940">
        <w:rPr>
          <w:rFonts w:ascii="Times New Roman" w:hAnsi="Times New Roman" w:cs="Times New Roman"/>
          <w:i/>
          <w:sz w:val="24"/>
          <w:szCs w:val="24"/>
        </w:rPr>
        <w:t>Regional Science and Urban Economics</w:t>
      </w:r>
      <w:r w:rsidRPr="00F21940">
        <w:rPr>
          <w:rFonts w:ascii="Times New Roman" w:hAnsi="Times New Roman" w:cs="Times New Roman"/>
          <w:sz w:val="24"/>
          <w:szCs w:val="24"/>
        </w:rPr>
        <w:t xml:space="preserve">, 41 (4), </w:t>
      </w:r>
      <w:r w:rsidR="003B2785">
        <w:rPr>
          <w:rFonts w:ascii="Times New Roman" w:hAnsi="Times New Roman" w:cs="Times New Roman"/>
          <w:sz w:val="24"/>
          <w:szCs w:val="24"/>
        </w:rPr>
        <w:t>382-393</w:t>
      </w:r>
      <w:r w:rsidRPr="00F21940">
        <w:rPr>
          <w:rFonts w:ascii="Times New Roman" w:eastAsia="Times New Roman" w:hAnsi="Times New Roman" w:cs="Times New Roman"/>
          <w:bCs/>
          <w:sz w:val="24"/>
          <w:szCs w:val="24"/>
        </w:rPr>
        <w:t>.</w:t>
      </w:r>
    </w:p>
    <w:p w:rsidR="00197294" w:rsidRPr="00F21940" w:rsidRDefault="00197294" w:rsidP="00197294">
      <w:pPr>
        <w:widowControl w:val="0"/>
        <w:spacing w:after="0" w:line="240" w:lineRule="auto"/>
        <w:rPr>
          <w:rFonts w:ascii="Times New Roman" w:eastAsia="Times New Roman" w:hAnsi="Times New Roman" w:cs="Times New Roman"/>
          <w:bCs/>
          <w:sz w:val="24"/>
          <w:szCs w:val="24"/>
        </w:rPr>
      </w:pPr>
    </w:p>
    <w:p w:rsidR="00197294" w:rsidRDefault="00197294" w:rsidP="00197294">
      <w:pPr>
        <w:widowControl w:val="0"/>
        <w:spacing w:after="0" w:line="240" w:lineRule="auto"/>
        <w:rPr>
          <w:rFonts w:ascii="Times New Roman" w:eastAsia="Times New Roman" w:hAnsi="Times New Roman" w:cs="Times New Roman"/>
          <w:bCs/>
          <w:sz w:val="24"/>
          <w:szCs w:val="24"/>
        </w:rPr>
      </w:pPr>
      <w:r w:rsidRPr="00F21940">
        <w:rPr>
          <w:rFonts w:ascii="Times New Roman" w:hAnsi="Times New Roman" w:cs="Times New Roman"/>
          <w:sz w:val="24"/>
          <w:szCs w:val="24"/>
        </w:rPr>
        <w:t xml:space="preserve">Wolverton, Marvin L. and Paul Gallimore (1999).  “Client Feedback and the Role of the Appraiser”.  </w:t>
      </w:r>
      <w:r w:rsidRPr="00F21940">
        <w:rPr>
          <w:rFonts w:ascii="Times New Roman" w:hAnsi="Times New Roman" w:cs="Times New Roman"/>
          <w:i/>
          <w:sz w:val="24"/>
          <w:szCs w:val="24"/>
        </w:rPr>
        <w:t>Journal of Real Estate Research</w:t>
      </w:r>
      <w:r w:rsidRPr="00F21940">
        <w:rPr>
          <w:rFonts w:ascii="Times New Roman" w:hAnsi="Times New Roman" w:cs="Times New Roman"/>
          <w:sz w:val="24"/>
          <w:szCs w:val="24"/>
        </w:rPr>
        <w:t>, 18 (3), 415-431.</w:t>
      </w:r>
    </w:p>
    <w:p w:rsidR="00D00DD3" w:rsidRDefault="00D00DD3">
      <w:pPr>
        <w:rPr>
          <w:rFonts w:ascii="Times New Roman" w:hAnsi="Times New Roman" w:cs="Times New Roman"/>
          <w:sz w:val="24"/>
          <w:szCs w:val="24"/>
        </w:rPr>
      </w:pPr>
      <w:r>
        <w:rPr>
          <w:rFonts w:ascii="Times New Roman" w:hAnsi="Times New Roman" w:cs="Times New Roman"/>
          <w:sz w:val="24"/>
          <w:szCs w:val="24"/>
        </w:rPr>
        <w:br w:type="page"/>
      </w:r>
    </w:p>
    <w:p w:rsidR="00D00DD3" w:rsidRDefault="00D00DD3" w:rsidP="00D00DD3">
      <w:pPr>
        <w:spacing w:after="0" w:line="480" w:lineRule="auto"/>
        <w:ind w:firstLine="720"/>
        <w:rPr>
          <w:rFonts w:ascii="Times New Roman" w:hAnsi="Times New Roman" w:cs="Times New Roman"/>
          <w:sz w:val="24"/>
          <w:szCs w:val="24"/>
        </w:rPr>
      </w:pPr>
    </w:p>
    <w:p w:rsidR="00D00DD3" w:rsidRPr="00A5713C" w:rsidRDefault="00D00DD3" w:rsidP="00D00DD3">
      <w:pPr>
        <w:keepNext/>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Figure 1.  Distribution of Net Digest Changes by County, 2001-2011</w:t>
      </w:r>
    </w:p>
    <w:p w:rsidR="00D00DD3" w:rsidRDefault="00D00DD3" w:rsidP="00D00DD3">
      <w:pPr>
        <w:spacing w:after="0" w:line="240" w:lineRule="auto"/>
        <w:ind w:firstLine="720"/>
        <w:rPr>
          <w:rFonts w:ascii="Times New Roman" w:hAnsi="Times New Roman" w:cs="Times New Roman"/>
          <w:sz w:val="24"/>
          <w:szCs w:val="24"/>
        </w:rPr>
      </w:pPr>
      <w:r>
        <w:rPr>
          <w:noProof/>
        </w:rPr>
        <w:drawing>
          <wp:inline distT="0" distB="0" distL="0" distR="0" wp14:anchorId="3EB22EA1" wp14:editId="54B3A7DC">
            <wp:extent cx="4566563" cy="334201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67241" cy="3342506"/>
                    </a:xfrm>
                    <a:prstGeom prst="rect">
                      <a:avLst/>
                    </a:prstGeom>
                    <a:noFill/>
                    <a:ln>
                      <a:noFill/>
                    </a:ln>
                  </pic:spPr>
                </pic:pic>
              </a:graphicData>
            </a:graphic>
          </wp:inline>
        </w:drawing>
      </w:r>
    </w:p>
    <w:p w:rsidR="00D00DD3" w:rsidRPr="00A5713C" w:rsidRDefault="00D00DD3" w:rsidP="00D00DD3">
      <w:pPr>
        <w:autoSpaceDE w:val="0"/>
        <w:autoSpaceDN w:val="0"/>
        <w:adjustRightInd w:val="0"/>
        <w:spacing w:after="0" w:line="480" w:lineRule="auto"/>
        <w:ind w:firstLine="720"/>
        <w:rPr>
          <w:rFonts w:ascii="Times New Roman" w:hAnsi="Times New Roman" w:cs="Times New Roman"/>
          <w:szCs w:val="24"/>
        </w:rPr>
      </w:pPr>
      <w:r w:rsidRPr="00A5713C">
        <w:rPr>
          <w:rFonts w:ascii="Times New Roman" w:hAnsi="Times New Roman" w:cs="Times New Roman"/>
          <w:szCs w:val="24"/>
        </w:rPr>
        <w:t>Source: Authors’ calculations from Georgia Department of Revenue data.</w:t>
      </w:r>
    </w:p>
    <w:p w:rsidR="00D00DD3" w:rsidRDefault="00D00DD3" w:rsidP="006D3591">
      <w:pPr>
        <w:spacing w:after="0" w:line="240" w:lineRule="auto"/>
        <w:rPr>
          <w:rFonts w:ascii="Times New Roman" w:hAnsi="Times New Roman" w:cs="Times New Roman"/>
          <w:sz w:val="24"/>
          <w:szCs w:val="24"/>
        </w:rPr>
      </w:pPr>
    </w:p>
    <w:p w:rsidR="00D00DD3" w:rsidRDefault="00D00DD3" w:rsidP="00D00DD3">
      <w:pPr>
        <w:keepNext/>
        <w:spacing w:after="0" w:line="240" w:lineRule="auto"/>
        <w:ind w:firstLine="720"/>
        <w:rPr>
          <w:rFonts w:ascii="Times New Roman" w:hAnsi="Times New Roman" w:cs="Times New Roman"/>
          <w:b/>
          <w:sz w:val="24"/>
          <w:szCs w:val="24"/>
        </w:rPr>
      </w:pPr>
    </w:p>
    <w:p w:rsidR="00D00DD3" w:rsidRPr="00A5713C" w:rsidRDefault="00D00DD3" w:rsidP="00D00DD3">
      <w:pPr>
        <w:keepNext/>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Figure 2.  Distribution of Adjusted 100% Digest Changes by County, 2001-2011</w:t>
      </w:r>
    </w:p>
    <w:p w:rsidR="00D00DD3" w:rsidRDefault="00D00DD3" w:rsidP="00D00DD3">
      <w:pPr>
        <w:spacing w:after="0" w:line="240" w:lineRule="auto"/>
        <w:ind w:firstLine="720"/>
        <w:rPr>
          <w:rFonts w:ascii="Times New Roman" w:hAnsi="Times New Roman" w:cs="Times New Roman"/>
          <w:sz w:val="24"/>
          <w:szCs w:val="24"/>
        </w:rPr>
      </w:pPr>
      <w:r>
        <w:rPr>
          <w:noProof/>
        </w:rPr>
        <w:drawing>
          <wp:inline distT="0" distB="0" distL="0" distR="0" wp14:anchorId="0B3B86CE" wp14:editId="05AF4530">
            <wp:extent cx="4563908" cy="3340067"/>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64585" cy="3340563"/>
                    </a:xfrm>
                    <a:prstGeom prst="rect">
                      <a:avLst/>
                    </a:prstGeom>
                    <a:noFill/>
                    <a:ln>
                      <a:noFill/>
                    </a:ln>
                  </pic:spPr>
                </pic:pic>
              </a:graphicData>
            </a:graphic>
          </wp:inline>
        </w:drawing>
      </w:r>
    </w:p>
    <w:p w:rsidR="00D00DD3" w:rsidRPr="00FB2547" w:rsidRDefault="00D00DD3" w:rsidP="00D00DD3">
      <w:pPr>
        <w:autoSpaceDE w:val="0"/>
        <w:autoSpaceDN w:val="0"/>
        <w:adjustRightInd w:val="0"/>
        <w:spacing w:after="0" w:line="480" w:lineRule="auto"/>
        <w:ind w:firstLine="720"/>
        <w:rPr>
          <w:rFonts w:ascii="Times New Roman" w:hAnsi="Times New Roman" w:cs="Times New Roman"/>
          <w:szCs w:val="24"/>
        </w:rPr>
      </w:pPr>
      <w:r w:rsidRPr="00FB2547">
        <w:rPr>
          <w:rFonts w:ascii="Times New Roman" w:hAnsi="Times New Roman" w:cs="Times New Roman"/>
          <w:szCs w:val="24"/>
        </w:rPr>
        <w:t>Source: Authors’ calculations from Georgia Department of Revenue data.</w:t>
      </w:r>
    </w:p>
    <w:p w:rsidR="00D00DD3" w:rsidRDefault="00D00DD3" w:rsidP="00D00DD3">
      <w:pPr>
        <w:autoSpaceDE w:val="0"/>
        <w:autoSpaceDN w:val="0"/>
        <w:adjustRightInd w:val="0"/>
        <w:spacing w:after="0" w:line="480" w:lineRule="auto"/>
        <w:rPr>
          <w:rFonts w:ascii="Times New Roman" w:hAnsi="Times New Roman" w:cs="Times New Roman"/>
          <w:sz w:val="24"/>
          <w:szCs w:val="24"/>
        </w:rPr>
      </w:pPr>
    </w:p>
    <w:p w:rsidR="00D00DD3" w:rsidRPr="0070486A" w:rsidRDefault="00D00DD3" w:rsidP="00D00DD3">
      <w:pPr>
        <w:autoSpaceDE w:val="0"/>
        <w:autoSpaceDN w:val="0"/>
        <w:adjustRightInd w:val="0"/>
        <w:spacing w:after="0" w:line="240" w:lineRule="auto"/>
        <w:ind w:firstLine="720"/>
        <w:rPr>
          <w:rFonts w:ascii="Times New Roman" w:hAnsi="Times New Roman" w:cs="Times New Roman"/>
          <w:b/>
          <w:sz w:val="24"/>
          <w:szCs w:val="24"/>
        </w:rPr>
      </w:pPr>
      <w:r w:rsidRPr="0070486A">
        <w:rPr>
          <w:rFonts w:ascii="Times New Roman" w:hAnsi="Times New Roman" w:cs="Times New Roman"/>
          <w:b/>
          <w:sz w:val="24"/>
          <w:szCs w:val="24"/>
        </w:rPr>
        <w:t xml:space="preserve">Figure </w:t>
      </w:r>
      <w:r>
        <w:rPr>
          <w:rFonts w:ascii="Times New Roman" w:hAnsi="Times New Roman" w:cs="Times New Roman"/>
          <w:b/>
          <w:sz w:val="24"/>
          <w:szCs w:val="24"/>
        </w:rPr>
        <w:t>3</w:t>
      </w:r>
      <w:r w:rsidRPr="0070486A">
        <w:rPr>
          <w:rFonts w:ascii="Times New Roman" w:hAnsi="Times New Roman" w:cs="Times New Roman"/>
          <w:b/>
          <w:sz w:val="24"/>
          <w:szCs w:val="24"/>
        </w:rPr>
        <w:t>. Local Revenue Per FTE</w:t>
      </w:r>
      <w:r>
        <w:rPr>
          <w:rFonts w:ascii="Times New Roman" w:hAnsi="Times New Roman" w:cs="Times New Roman"/>
          <w:b/>
          <w:sz w:val="24"/>
          <w:szCs w:val="24"/>
        </w:rPr>
        <w:t xml:space="preserve"> for</w:t>
      </w:r>
      <w:r w:rsidRPr="0070486A">
        <w:rPr>
          <w:rFonts w:ascii="Times New Roman" w:hAnsi="Times New Roman" w:cs="Times New Roman"/>
          <w:b/>
          <w:sz w:val="24"/>
          <w:szCs w:val="24"/>
        </w:rPr>
        <w:t xml:space="preserve"> Georgia School Districts</w:t>
      </w:r>
      <w:r>
        <w:rPr>
          <w:rFonts w:ascii="Times New Roman" w:hAnsi="Times New Roman" w:cs="Times New Roman"/>
          <w:b/>
          <w:sz w:val="24"/>
          <w:szCs w:val="24"/>
        </w:rPr>
        <w:t>, 2001-2011</w:t>
      </w:r>
    </w:p>
    <w:p w:rsidR="00D00DD3" w:rsidRDefault="00D00DD3" w:rsidP="00D00DD3">
      <w:pPr>
        <w:autoSpaceDE w:val="0"/>
        <w:autoSpaceDN w:val="0"/>
        <w:adjustRightInd w:val="0"/>
        <w:spacing w:after="0" w:line="240" w:lineRule="auto"/>
        <w:ind w:firstLine="720"/>
        <w:rPr>
          <w:rFonts w:ascii="Times New Roman" w:hAnsi="Times New Roman" w:cs="Times New Roman"/>
          <w:sz w:val="24"/>
          <w:szCs w:val="24"/>
        </w:rPr>
      </w:pPr>
      <w:r>
        <w:rPr>
          <w:noProof/>
        </w:rPr>
        <w:drawing>
          <wp:inline distT="0" distB="0" distL="0" distR="0" wp14:anchorId="2FFDE654" wp14:editId="3A79FE95">
            <wp:extent cx="4572000" cy="3036570"/>
            <wp:effectExtent l="0" t="0" r="1905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00DD3" w:rsidRPr="00A5713C" w:rsidRDefault="00D00DD3" w:rsidP="00D00DD3">
      <w:pPr>
        <w:autoSpaceDE w:val="0"/>
        <w:autoSpaceDN w:val="0"/>
        <w:adjustRightInd w:val="0"/>
        <w:spacing w:after="0" w:line="480" w:lineRule="auto"/>
        <w:ind w:firstLine="720"/>
        <w:rPr>
          <w:rFonts w:ascii="Times New Roman" w:hAnsi="Times New Roman" w:cs="Times New Roman"/>
          <w:szCs w:val="24"/>
        </w:rPr>
      </w:pPr>
      <w:r w:rsidRPr="00A5713C">
        <w:rPr>
          <w:rFonts w:ascii="Times New Roman" w:hAnsi="Times New Roman" w:cs="Times New Roman"/>
          <w:szCs w:val="24"/>
        </w:rPr>
        <w:t>Source: Authors’ calculations from Georgia Department of Education data.</w:t>
      </w:r>
    </w:p>
    <w:p w:rsidR="00D00DD3" w:rsidRDefault="00D00DD3" w:rsidP="00D00DD3">
      <w:pPr>
        <w:spacing w:after="0" w:line="480" w:lineRule="auto"/>
        <w:ind w:firstLine="720"/>
        <w:rPr>
          <w:rFonts w:ascii="Times New Roman" w:hAnsi="Times New Roman" w:cs="Times New Roman"/>
          <w:sz w:val="24"/>
          <w:szCs w:val="24"/>
        </w:rPr>
      </w:pPr>
    </w:p>
    <w:p w:rsidR="00D00DD3" w:rsidRPr="00CB0721" w:rsidRDefault="00D00DD3" w:rsidP="00D00DD3">
      <w:pPr>
        <w:keepNext/>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Figure 4.  Distribution of Property Tax Revenue Changes by County, 1998-2011</w:t>
      </w:r>
    </w:p>
    <w:p w:rsidR="00D00DD3" w:rsidRDefault="00D00DD3" w:rsidP="00D00DD3">
      <w:pPr>
        <w:spacing w:after="0" w:line="240" w:lineRule="auto"/>
        <w:ind w:firstLine="720"/>
        <w:rPr>
          <w:rFonts w:ascii="Times New Roman" w:hAnsi="Times New Roman" w:cs="Times New Roman"/>
          <w:sz w:val="24"/>
          <w:szCs w:val="24"/>
        </w:rPr>
      </w:pPr>
      <w:r w:rsidRPr="00CB0721">
        <w:rPr>
          <w:rFonts w:ascii="Times New Roman" w:hAnsi="Times New Roman" w:cs="Times New Roman"/>
          <w:noProof/>
          <w:sz w:val="24"/>
          <w:szCs w:val="24"/>
        </w:rPr>
        <w:drawing>
          <wp:inline distT="0" distB="0" distL="0" distR="0" wp14:anchorId="75285A57" wp14:editId="281EAEFF">
            <wp:extent cx="4573173" cy="335010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3284" cy="3350183"/>
                    </a:xfrm>
                    <a:prstGeom prst="rect">
                      <a:avLst/>
                    </a:prstGeom>
                    <a:noFill/>
                    <a:ln>
                      <a:noFill/>
                    </a:ln>
                  </pic:spPr>
                </pic:pic>
              </a:graphicData>
            </a:graphic>
          </wp:inline>
        </w:drawing>
      </w:r>
    </w:p>
    <w:p w:rsidR="00D00DD3" w:rsidRPr="00FB2547" w:rsidRDefault="00D00DD3" w:rsidP="00D00DD3">
      <w:pPr>
        <w:autoSpaceDE w:val="0"/>
        <w:autoSpaceDN w:val="0"/>
        <w:adjustRightInd w:val="0"/>
        <w:spacing w:after="0" w:line="480" w:lineRule="auto"/>
        <w:ind w:firstLine="720"/>
        <w:rPr>
          <w:rFonts w:ascii="Times New Roman" w:hAnsi="Times New Roman" w:cs="Times New Roman"/>
          <w:szCs w:val="24"/>
        </w:rPr>
      </w:pPr>
      <w:r w:rsidRPr="00FB2547">
        <w:rPr>
          <w:rFonts w:ascii="Times New Roman" w:hAnsi="Times New Roman" w:cs="Times New Roman"/>
          <w:szCs w:val="24"/>
        </w:rPr>
        <w:t xml:space="preserve">Source: Authors’ calculations from Georgia Department of </w:t>
      </w:r>
      <w:r>
        <w:rPr>
          <w:rFonts w:ascii="Times New Roman" w:hAnsi="Times New Roman" w:cs="Times New Roman"/>
          <w:szCs w:val="24"/>
        </w:rPr>
        <w:t>Education</w:t>
      </w:r>
      <w:r w:rsidRPr="00FB2547">
        <w:rPr>
          <w:rFonts w:ascii="Times New Roman" w:hAnsi="Times New Roman" w:cs="Times New Roman"/>
          <w:szCs w:val="24"/>
        </w:rPr>
        <w:t xml:space="preserve"> data.</w:t>
      </w:r>
    </w:p>
    <w:p w:rsidR="00D00DD3" w:rsidRPr="00036988" w:rsidRDefault="00D00DD3" w:rsidP="00D00DD3">
      <w:pPr>
        <w:keepNext/>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Figure 5. Foreclosures Per 100 Housing Units by County, 2006-2011</w:t>
      </w:r>
    </w:p>
    <w:p w:rsidR="00D00DD3" w:rsidRDefault="00D00DD3" w:rsidP="00D00DD3">
      <w:pPr>
        <w:keepNext/>
        <w:spacing w:after="0" w:line="240" w:lineRule="auto"/>
        <w:ind w:firstLine="720"/>
        <w:rPr>
          <w:rFonts w:ascii="Times New Roman" w:hAnsi="Times New Roman" w:cs="Times New Roman"/>
          <w:sz w:val="24"/>
          <w:szCs w:val="24"/>
        </w:rPr>
      </w:pPr>
      <w:r w:rsidRPr="00CB0721">
        <w:rPr>
          <w:rFonts w:ascii="Times New Roman" w:hAnsi="Times New Roman" w:cs="Times New Roman"/>
          <w:noProof/>
          <w:sz w:val="24"/>
          <w:szCs w:val="24"/>
        </w:rPr>
        <w:drawing>
          <wp:inline distT="0" distB="0" distL="0" distR="0" wp14:anchorId="3C2C3BFD" wp14:editId="08061A1A">
            <wp:extent cx="4563374" cy="3339827"/>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63459" cy="3339889"/>
                    </a:xfrm>
                    <a:prstGeom prst="rect">
                      <a:avLst/>
                    </a:prstGeom>
                    <a:noFill/>
                    <a:ln>
                      <a:noFill/>
                    </a:ln>
                  </pic:spPr>
                </pic:pic>
              </a:graphicData>
            </a:graphic>
          </wp:inline>
        </w:drawing>
      </w:r>
    </w:p>
    <w:p w:rsidR="00D00DD3" w:rsidRDefault="00D00DD3" w:rsidP="00D00DD3">
      <w:pPr>
        <w:spacing w:after="0" w:line="480" w:lineRule="auto"/>
        <w:ind w:firstLine="720"/>
        <w:rPr>
          <w:rFonts w:ascii="Times New Roman" w:hAnsi="Times New Roman" w:cs="Times New Roman"/>
          <w:szCs w:val="24"/>
        </w:rPr>
      </w:pPr>
      <w:r w:rsidRPr="00036988">
        <w:rPr>
          <w:rFonts w:ascii="Times New Roman" w:hAnsi="Times New Roman" w:cs="Times New Roman"/>
          <w:szCs w:val="24"/>
        </w:rPr>
        <w:t xml:space="preserve">Source: </w:t>
      </w:r>
      <w:r w:rsidRPr="00315983">
        <w:rPr>
          <w:rFonts w:ascii="Times New Roman" w:hAnsi="Times New Roman" w:cs="Times New Roman"/>
          <w:szCs w:val="24"/>
        </w:rPr>
        <w:t>Authors’ calculations from RealtyTrac data.</w:t>
      </w:r>
    </w:p>
    <w:p w:rsidR="00531B65" w:rsidRDefault="00531B65" w:rsidP="00D00DD3">
      <w:pPr>
        <w:spacing w:after="0" w:line="480" w:lineRule="auto"/>
        <w:ind w:firstLine="720"/>
        <w:rPr>
          <w:rFonts w:ascii="Times New Roman" w:hAnsi="Times New Roman" w:cs="Times New Roman"/>
          <w:szCs w:val="24"/>
        </w:rPr>
      </w:pPr>
    </w:p>
    <w:p w:rsidR="00D00DD3" w:rsidRPr="00FB2547" w:rsidRDefault="00D00DD3" w:rsidP="00D00DD3">
      <w:pPr>
        <w:keepNext/>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Figure 6. Foreclosures Per 1000 Population by County, 2006-2011</w:t>
      </w:r>
    </w:p>
    <w:p w:rsidR="00D00DD3" w:rsidRDefault="00D00DD3" w:rsidP="00D00DD3">
      <w:pPr>
        <w:keepNext/>
        <w:spacing w:after="0" w:line="240" w:lineRule="auto"/>
        <w:ind w:firstLine="720"/>
        <w:rPr>
          <w:rFonts w:ascii="Times New Roman" w:hAnsi="Times New Roman" w:cs="Times New Roman"/>
          <w:sz w:val="24"/>
          <w:szCs w:val="24"/>
        </w:rPr>
      </w:pPr>
      <w:r w:rsidRPr="00CB0721">
        <w:rPr>
          <w:rFonts w:ascii="Times New Roman" w:hAnsi="Times New Roman" w:cs="Times New Roman"/>
          <w:noProof/>
          <w:sz w:val="24"/>
          <w:szCs w:val="24"/>
        </w:rPr>
        <w:drawing>
          <wp:inline distT="0" distB="0" distL="0" distR="0" wp14:anchorId="6D240BF8" wp14:editId="1AEC0F99">
            <wp:extent cx="4563374" cy="3339827"/>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63459" cy="3339889"/>
                    </a:xfrm>
                    <a:prstGeom prst="rect">
                      <a:avLst/>
                    </a:prstGeom>
                    <a:noFill/>
                    <a:ln>
                      <a:noFill/>
                    </a:ln>
                  </pic:spPr>
                </pic:pic>
              </a:graphicData>
            </a:graphic>
          </wp:inline>
        </w:drawing>
      </w:r>
    </w:p>
    <w:p w:rsidR="00D00DD3" w:rsidRDefault="00D00DD3" w:rsidP="00D00DD3">
      <w:pPr>
        <w:spacing w:after="0" w:line="480" w:lineRule="auto"/>
        <w:ind w:firstLine="720"/>
        <w:rPr>
          <w:rFonts w:ascii="Times New Roman" w:hAnsi="Times New Roman" w:cs="Times New Roman"/>
          <w:sz w:val="24"/>
          <w:szCs w:val="24"/>
        </w:rPr>
      </w:pPr>
      <w:r w:rsidRPr="00036988">
        <w:rPr>
          <w:rFonts w:ascii="Times New Roman" w:hAnsi="Times New Roman" w:cs="Times New Roman"/>
          <w:szCs w:val="24"/>
        </w:rPr>
        <w:t xml:space="preserve">Source: </w:t>
      </w:r>
      <w:r w:rsidRPr="00315983">
        <w:rPr>
          <w:rFonts w:ascii="Times New Roman" w:hAnsi="Times New Roman" w:cs="Times New Roman"/>
          <w:szCs w:val="24"/>
        </w:rPr>
        <w:t>Authors’ calculations from RealtyTrac data.</w:t>
      </w:r>
    </w:p>
    <w:p w:rsidR="00D00DD3" w:rsidRDefault="00D00DD3" w:rsidP="00D00DD3">
      <w:pPr>
        <w:spacing w:after="0" w:line="480" w:lineRule="auto"/>
        <w:ind w:firstLine="720"/>
        <w:rPr>
          <w:rFonts w:ascii="Times New Roman" w:hAnsi="Times New Roman" w:cs="Times New Roman"/>
          <w:sz w:val="24"/>
          <w:szCs w:val="24"/>
        </w:rPr>
      </w:pPr>
    </w:p>
    <w:p w:rsidR="00D00DD3" w:rsidRPr="0070486A" w:rsidRDefault="00D00DD3" w:rsidP="00D00DD3">
      <w:pPr>
        <w:keepNext/>
        <w:spacing w:after="0" w:line="240" w:lineRule="auto"/>
        <w:ind w:left="720"/>
        <w:rPr>
          <w:rFonts w:ascii="Times New Roman Bold" w:hAnsi="Times New Roman Bold" w:cs="Times New Roman"/>
          <w:b/>
          <w:sz w:val="24"/>
          <w:szCs w:val="24"/>
        </w:rPr>
      </w:pPr>
      <w:r w:rsidRPr="0070486A">
        <w:rPr>
          <w:rFonts w:ascii="Times New Roman Bold" w:hAnsi="Times New Roman Bold" w:cs="Times New Roman"/>
          <w:b/>
          <w:bCs/>
          <w:sz w:val="24"/>
          <w:szCs w:val="24"/>
        </w:rPr>
        <w:lastRenderedPageBreak/>
        <w:t xml:space="preserve">Figure </w:t>
      </w:r>
      <w:r>
        <w:rPr>
          <w:rFonts w:ascii="Times New Roman Bold" w:hAnsi="Times New Roman Bold" w:cs="Times New Roman"/>
          <w:b/>
          <w:bCs/>
          <w:sz w:val="24"/>
          <w:szCs w:val="24"/>
        </w:rPr>
        <w:t>7</w:t>
      </w:r>
      <w:r w:rsidRPr="0070486A">
        <w:rPr>
          <w:rFonts w:ascii="Times New Roman Bold" w:hAnsi="Times New Roman Bold" w:cs="Times New Roman"/>
          <w:b/>
          <w:bCs/>
          <w:sz w:val="24"/>
          <w:szCs w:val="24"/>
        </w:rPr>
        <w:t xml:space="preserve">. </w:t>
      </w:r>
      <w:r>
        <w:rPr>
          <w:rFonts w:ascii="Times New Roman Bold" w:hAnsi="Times New Roman Bold" w:cs="Times New Roman"/>
          <w:b/>
          <w:bCs/>
          <w:sz w:val="24"/>
          <w:szCs w:val="24"/>
        </w:rPr>
        <w:t xml:space="preserve">Georgia </w:t>
      </w:r>
      <w:r w:rsidRPr="0070486A">
        <w:rPr>
          <w:rFonts w:ascii="Times New Roman Bold" w:hAnsi="Times New Roman Bold" w:cs="Times New Roman"/>
          <w:b/>
          <w:bCs/>
          <w:sz w:val="24"/>
          <w:szCs w:val="24"/>
        </w:rPr>
        <w:t xml:space="preserve">Foreclosures </w:t>
      </w:r>
      <w:r>
        <w:rPr>
          <w:rFonts w:ascii="Times New Roman Bold" w:hAnsi="Times New Roman Bold" w:cs="Times New Roman"/>
          <w:b/>
          <w:bCs/>
          <w:sz w:val="24"/>
          <w:szCs w:val="24"/>
        </w:rPr>
        <w:t xml:space="preserve">Per 100 Housing Units </w:t>
      </w:r>
      <w:r w:rsidRPr="0070486A">
        <w:rPr>
          <w:rFonts w:ascii="Times New Roman Bold" w:hAnsi="Times New Roman Bold" w:cs="Times New Roman"/>
          <w:b/>
          <w:bCs/>
          <w:sz w:val="24"/>
          <w:szCs w:val="24"/>
        </w:rPr>
        <w:t xml:space="preserve">in 2006 and 2010 by </w:t>
      </w:r>
      <w:r>
        <w:rPr>
          <w:rFonts w:ascii="Times New Roman Bold" w:hAnsi="Times New Roman Bold" w:cs="Times New Roman"/>
          <w:b/>
          <w:bCs/>
          <w:sz w:val="24"/>
          <w:szCs w:val="24"/>
        </w:rPr>
        <w:t>County</w:t>
      </w:r>
    </w:p>
    <w:p w:rsidR="00D00DD3" w:rsidRDefault="00D00DD3" w:rsidP="00D00DD3">
      <w:pPr>
        <w:keepNext/>
        <w:spacing w:after="0" w:line="240" w:lineRule="auto"/>
        <w:ind w:left="720"/>
        <w:rPr>
          <w:rFonts w:ascii="Times New Roman Bold" w:hAnsi="Times New Roman Bold" w:cs="Times New Roman"/>
          <w:b/>
          <w:smallCaps/>
          <w:sz w:val="24"/>
          <w:szCs w:val="24"/>
          <w:u w:val="single"/>
        </w:rPr>
      </w:pPr>
      <w:r>
        <w:rPr>
          <w:noProof/>
        </w:rPr>
        <w:drawing>
          <wp:inline distT="0" distB="0" distL="0" distR="0" wp14:anchorId="6D1F26A3" wp14:editId="5F1A350C">
            <wp:extent cx="4521200" cy="4014789"/>
            <wp:effectExtent l="0" t="0" r="12700" b="241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00DD3" w:rsidRPr="00036988" w:rsidRDefault="00D00DD3" w:rsidP="00D00DD3">
      <w:pPr>
        <w:spacing w:after="0" w:line="480" w:lineRule="auto"/>
        <w:ind w:left="720"/>
        <w:rPr>
          <w:rFonts w:ascii="Times New Roman" w:hAnsi="Times New Roman" w:cs="Times New Roman"/>
          <w:szCs w:val="24"/>
        </w:rPr>
      </w:pPr>
      <w:r w:rsidRPr="00036988">
        <w:rPr>
          <w:rFonts w:ascii="Times New Roman" w:hAnsi="Times New Roman" w:cs="Times New Roman"/>
          <w:szCs w:val="24"/>
        </w:rPr>
        <w:t>Source: Authors’ calculations from RealtyTrac data.</w:t>
      </w:r>
    </w:p>
    <w:p w:rsidR="00D00DD3" w:rsidRPr="0070486A" w:rsidRDefault="00D00DD3" w:rsidP="00D00DD3">
      <w:pPr>
        <w:keepNext/>
        <w:spacing w:after="0" w:line="240" w:lineRule="auto"/>
        <w:rPr>
          <w:rFonts w:ascii="Times New Roman" w:hAnsi="Times New Roman" w:cs="Times New Roman"/>
          <w:b/>
          <w:sz w:val="24"/>
          <w:szCs w:val="24"/>
        </w:rPr>
      </w:pPr>
      <w:r w:rsidRPr="0070486A">
        <w:rPr>
          <w:rFonts w:ascii="Times New Roman" w:hAnsi="Times New Roman" w:cs="Times New Roman"/>
          <w:b/>
          <w:sz w:val="24"/>
          <w:szCs w:val="24"/>
        </w:rPr>
        <w:lastRenderedPageBreak/>
        <w:t xml:space="preserve">Map 1. Total </w:t>
      </w:r>
      <w:r>
        <w:rPr>
          <w:rFonts w:ascii="Times New Roman" w:hAnsi="Times New Roman" w:cs="Times New Roman"/>
          <w:b/>
          <w:sz w:val="24"/>
          <w:szCs w:val="24"/>
        </w:rPr>
        <w:t xml:space="preserve">Georgia </w:t>
      </w:r>
      <w:r w:rsidRPr="0070486A">
        <w:rPr>
          <w:rFonts w:ascii="Times New Roman" w:hAnsi="Times New Roman" w:cs="Times New Roman"/>
          <w:b/>
          <w:sz w:val="24"/>
          <w:szCs w:val="24"/>
        </w:rPr>
        <w:t>Foreclosures by Zip Code, 2010</w:t>
      </w:r>
    </w:p>
    <w:p w:rsidR="00D00DD3" w:rsidRDefault="00A04021" w:rsidP="00D00DD3">
      <w:pPr>
        <w:keepNext/>
        <w:spacing w:line="240" w:lineRule="auto"/>
        <w:rPr>
          <w:rFonts w:ascii="Times New Roman" w:hAnsi="Times New Roman" w:cs="Times New Roman"/>
          <w:sz w:val="24"/>
          <w:szCs w:val="24"/>
        </w:rPr>
      </w:pPr>
      <w:r w:rsidRPr="00883324">
        <w:rPr>
          <w:rFonts w:ascii="Times New Roman" w:hAnsi="Times New Roman" w:cs="Times New Roman"/>
          <w:noProof/>
          <w:sz w:val="24"/>
          <w:szCs w:val="24"/>
        </w:rPr>
        <w:drawing>
          <wp:inline distT="0" distB="0" distL="0" distR="0" wp14:anchorId="0B71F48A" wp14:editId="2DBF0A2E">
            <wp:extent cx="6263640" cy="348361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Land Lines 7-17-13 GA total foreclosur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63640" cy="3483610"/>
                    </a:xfrm>
                    <a:prstGeom prst="rect">
                      <a:avLst/>
                    </a:prstGeom>
                  </pic:spPr>
                </pic:pic>
              </a:graphicData>
            </a:graphic>
          </wp:inline>
        </w:drawing>
      </w:r>
    </w:p>
    <w:p w:rsidR="00D00DD3" w:rsidRPr="007A7F09" w:rsidRDefault="00D00DD3" w:rsidP="00D00DD3">
      <w:pPr>
        <w:spacing w:after="0" w:line="480" w:lineRule="auto"/>
        <w:rPr>
          <w:rFonts w:ascii="Times New Roman" w:hAnsi="Times New Roman" w:cs="Times New Roman"/>
          <w:szCs w:val="24"/>
        </w:rPr>
      </w:pPr>
      <w:r w:rsidRPr="007A7F09">
        <w:rPr>
          <w:rFonts w:ascii="Times New Roman" w:hAnsi="Times New Roman" w:cs="Times New Roman"/>
          <w:szCs w:val="24"/>
        </w:rPr>
        <w:t>Source: Authors’ calculations from RealtyTrac data.</w:t>
      </w:r>
    </w:p>
    <w:p w:rsidR="00D00DD3" w:rsidRPr="0070486A" w:rsidRDefault="00D00DD3" w:rsidP="00D00DD3">
      <w:pPr>
        <w:keepNext/>
        <w:spacing w:after="0" w:line="240" w:lineRule="auto"/>
        <w:rPr>
          <w:rFonts w:ascii="Times New Roman Bold" w:hAnsi="Times New Roman Bold" w:cs="Times New Roman"/>
          <w:b/>
          <w:sz w:val="24"/>
          <w:szCs w:val="24"/>
        </w:rPr>
      </w:pPr>
      <w:r w:rsidRPr="0070486A">
        <w:rPr>
          <w:rFonts w:ascii="Times New Roman Bold" w:hAnsi="Times New Roman Bold" w:cs="Times New Roman"/>
          <w:b/>
          <w:sz w:val="24"/>
          <w:szCs w:val="24"/>
        </w:rPr>
        <w:t xml:space="preserve">Map 2. </w:t>
      </w:r>
      <w:r>
        <w:rPr>
          <w:rFonts w:ascii="Times New Roman Bold" w:hAnsi="Times New Roman Bold" w:cs="Times New Roman"/>
          <w:b/>
          <w:sz w:val="24"/>
          <w:szCs w:val="24"/>
        </w:rPr>
        <w:t xml:space="preserve">Georgia </w:t>
      </w:r>
      <w:r w:rsidRPr="0070486A">
        <w:rPr>
          <w:rFonts w:ascii="Times New Roman Bold" w:hAnsi="Times New Roman Bold" w:cs="Times New Roman"/>
          <w:b/>
          <w:sz w:val="24"/>
          <w:szCs w:val="24"/>
        </w:rPr>
        <w:t>For</w:t>
      </w:r>
      <w:r>
        <w:rPr>
          <w:rFonts w:ascii="Times New Roman Bold" w:hAnsi="Times New Roman Bold" w:cs="Times New Roman"/>
          <w:b/>
          <w:sz w:val="24"/>
          <w:szCs w:val="24"/>
        </w:rPr>
        <w:t>eclosures as a Percent of Owner-o</w:t>
      </w:r>
      <w:r w:rsidRPr="0070486A">
        <w:rPr>
          <w:rFonts w:ascii="Times New Roman Bold" w:hAnsi="Times New Roman Bold" w:cs="Times New Roman"/>
          <w:b/>
          <w:sz w:val="24"/>
          <w:szCs w:val="24"/>
        </w:rPr>
        <w:t>ccupied Housing by Zip Code, 2010</w:t>
      </w:r>
    </w:p>
    <w:p w:rsidR="00D00DD3" w:rsidRPr="00E31AB7" w:rsidRDefault="00A04021" w:rsidP="00D00DD3">
      <w:pPr>
        <w:keepNext/>
        <w:spacing w:after="0" w:line="240" w:lineRule="auto"/>
        <w:rPr>
          <w:rFonts w:ascii="Times New Roman Bold" w:hAnsi="Times New Roman Bold" w:cs="Times New Roman"/>
          <w:smallCaps/>
          <w:sz w:val="24"/>
          <w:szCs w:val="24"/>
        </w:rPr>
      </w:pPr>
      <w:r w:rsidRPr="00883324">
        <w:rPr>
          <w:rFonts w:ascii="Times New Roman Bold" w:hAnsi="Times New Roman Bold" w:cs="Times New Roman"/>
          <w:smallCaps/>
          <w:noProof/>
          <w:sz w:val="24"/>
          <w:szCs w:val="24"/>
        </w:rPr>
        <w:drawing>
          <wp:inline distT="0" distB="0" distL="0" distR="0" wp14:anchorId="14F65B75" wp14:editId="4A1F5BB0">
            <wp:extent cx="6263640" cy="3483610"/>
            <wp:effectExtent l="0" t="0" r="381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Land Lines 7-17-13 GA % share of owner occupied HU.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63640" cy="3483610"/>
                    </a:xfrm>
                    <a:prstGeom prst="rect">
                      <a:avLst/>
                    </a:prstGeom>
                  </pic:spPr>
                </pic:pic>
              </a:graphicData>
            </a:graphic>
          </wp:inline>
        </w:drawing>
      </w:r>
    </w:p>
    <w:p w:rsidR="00D00DD3" w:rsidRPr="007A7F09" w:rsidRDefault="00D00DD3" w:rsidP="00D00DD3">
      <w:pPr>
        <w:spacing w:after="0" w:line="480" w:lineRule="auto"/>
        <w:rPr>
          <w:rFonts w:ascii="Times New Roman" w:hAnsi="Times New Roman" w:cs="Times New Roman"/>
          <w:szCs w:val="24"/>
        </w:rPr>
      </w:pPr>
      <w:r w:rsidRPr="007A7F09">
        <w:rPr>
          <w:rFonts w:ascii="Times New Roman" w:hAnsi="Times New Roman" w:cs="Times New Roman"/>
          <w:szCs w:val="24"/>
        </w:rPr>
        <w:t>Source: Authors’ calculations from RealtyTrac data.</w:t>
      </w:r>
    </w:p>
    <w:p w:rsidR="00D00DD3" w:rsidRDefault="00D00DD3" w:rsidP="00D00DD3">
      <w:pPr>
        <w:spacing w:after="0" w:line="480" w:lineRule="auto"/>
        <w:ind w:firstLine="720"/>
        <w:rPr>
          <w:rFonts w:ascii="Times New Roman" w:hAnsi="Times New Roman" w:cs="Times New Roman"/>
          <w:sz w:val="24"/>
          <w:szCs w:val="24"/>
        </w:rPr>
      </w:pPr>
    </w:p>
    <w:p w:rsidR="00497E15" w:rsidRPr="00604D62" w:rsidRDefault="00497E15" w:rsidP="00604D62">
      <w:pPr>
        <w:spacing w:after="0" w:line="240" w:lineRule="auto"/>
        <w:ind w:left="720"/>
        <w:rPr>
          <w:rFonts w:ascii="Times New Roman" w:hAnsi="Times New Roman" w:cs="Times New Roman"/>
          <w:b/>
          <w:sz w:val="24"/>
          <w:szCs w:val="24"/>
        </w:rPr>
      </w:pPr>
      <w:r w:rsidRPr="00604D62">
        <w:rPr>
          <w:rFonts w:ascii="Times New Roman" w:hAnsi="Times New Roman" w:cs="Times New Roman"/>
          <w:b/>
          <w:sz w:val="24"/>
          <w:szCs w:val="24"/>
        </w:rPr>
        <w:t>Table 1. Data Summary</w:t>
      </w:r>
    </w:p>
    <w:tbl>
      <w:tblPr>
        <w:tblW w:w="8640" w:type="dxa"/>
        <w:tblInd w:w="828" w:type="dxa"/>
        <w:tblLayout w:type="fixed"/>
        <w:tblLook w:val="0000" w:firstRow="0" w:lastRow="0" w:firstColumn="0" w:lastColumn="0" w:noHBand="0" w:noVBand="0"/>
      </w:tblPr>
      <w:tblGrid>
        <w:gridCol w:w="3510"/>
        <w:gridCol w:w="1080"/>
        <w:gridCol w:w="990"/>
        <w:gridCol w:w="1080"/>
        <w:gridCol w:w="990"/>
        <w:gridCol w:w="990"/>
      </w:tblGrid>
      <w:tr w:rsidR="00B94B23" w:rsidTr="007D455D">
        <w:trPr>
          <w:trHeight w:val="290"/>
        </w:trPr>
        <w:tc>
          <w:tcPr>
            <w:tcW w:w="3510" w:type="dxa"/>
            <w:tcBorders>
              <w:top w:val="single" w:sz="4" w:space="0" w:color="auto"/>
              <w:left w:val="single" w:sz="4" w:space="0" w:color="auto"/>
              <w:bottom w:val="single" w:sz="4" w:space="0" w:color="auto"/>
              <w:right w:val="single" w:sz="4" w:space="0" w:color="auto"/>
            </w:tcBorders>
          </w:tcPr>
          <w:p w:rsidR="00B94B23" w:rsidRDefault="007D455D" w:rsidP="00A066C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Variable</w:t>
            </w:r>
          </w:p>
        </w:tc>
        <w:tc>
          <w:tcPr>
            <w:tcW w:w="1080" w:type="dxa"/>
            <w:tcBorders>
              <w:top w:val="single" w:sz="4" w:space="0" w:color="auto"/>
              <w:left w:val="single" w:sz="4" w:space="0" w:color="auto"/>
              <w:bottom w:val="single" w:sz="4" w:space="0" w:color="auto"/>
              <w:right w:val="single" w:sz="4" w:space="0" w:color="auto"/>
            </w:tcBorders>
          </w:tcPr>
          <w:p w:rsidR="00B94B23" w:rsidRPr="00B94B23" w:rsidRDefault="00B94B23" w:rsidP="00A066C3">
            <w:pPr>
              <w:autoSpaceDE w:val="0"/>
              <w:autoSpaceDN w:val="0"/>
              <w:adjustRightInd w:val="0"/>
              <w:spacing w:after="0" w:line="240" w:lineRule="auto"/>
              <w:jc w:val="center"/>
              <w:rPr>
                <w:rFonts w:ascii="Times New Roman" w:hAnsi="Times New Roman" w:cs="Times New Roman"/>
                <w:b/>
                <w:bCs/>
                <w:color w:val="000000"/>
              </w:rPr>
            </w:pPr>
            <w:r w:rsidRPr="00604D62">
              <w:rPr>
                <w:rFonts w:ascii="Times New Roman" w:hAnsi="Times New Roman" w:cs="Times New Roman"/>
                <w:b/>
              </w:rPr>
              <w:t>Median</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Mean</w:t>
            </w:r>
          </w:p>
        </w:tc>
        <w:tc>
          <w:tcPr>
            <w:tcW w:w="108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Std Dev</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Obs</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Periods</w:t>
            </w:r>
          </w:p>
        </w:tc>
      </w:tr>
      <w:tr w:rsidR="00B94B23" w:rsidTr="007D455D">
        <w:trPr>
          <w:trHeight w:val="290"/>
        </w:trPr>
        <w:tc>
          <w:tcPr>
            <w:tcW w:w="351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Adjusted 100% Digest</w:t>
            </w:r>
          </w:p>
        </w:tc>
        <w:tc>
          <w:tcPr>
            <w:tcW w:w="1080" w:type="dxa"/>
            <w:tcBorders>
              <w:top w:val="single" w:sz="4" w:space="0" w:color="auto"/>
              <w:left w:val="single" w:sz="4" w:space="0" w:color="auto"/>
              <w:bottom w:val="single" w:sz="4" w:space="0" w:color="auto"/>
              <w:right w:val="single" w:sz="4" w:space="0" w:color="auto"/>
            </w:tcBorders>
          </w:tcPr>
          <w:p w:rsidR="00B94B23" w:rsidRPr="00B94B23" w:rsidRDefault="00B94B23" w:rsidP="00A066C3">
            <w:pPr>
              <w:autoSpaceDE w:val="0"/>
              <w:autoSpaceDN w:val="0"/>
              <w:adjustRightInd w:val="0"/>
              <w:spacing w:after="0" w:line="240" w:lineRule="auto"/>
              <w:jc w:val="right"/>
              <w:rPr>
                <w:rFonts w:ascii="Times New Roman" w:hAnsi="Times New Roman" w:cs="Times New Roman"/>
                <w:color w:val="000000"/>
              </w:rPr>
            </w:pPr>
            <w:r w:rsidRPr="00604D62">
              <w:rPr>
                <w:rFonts w:ascii="Times New Roman" w:hAnsi="Times New Roman" w:cs="Times New Roman"/>
              </w:rPr>
              <w:t>0.043</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0.043</w:t>
            </w:r>
          </w:p>
        </w:tc>
        <w:tc>
          <w:tcPr>
            <w:tcW w:w="108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0.078</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1,749 </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w:t>
            </w:r>
          </w:p>
        </w:tc>
      </w:tr>
      <w:tr w:rsidR="00B94B23" w:rsidTr="007D455D">
        <w:trPr>
          <w:trHeight w:val="290"/>
        </w:trPr>
        <w:tc>
          <w:tcPr>
            <w:tcW w:w="351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Adjusted 100% Digest Per Capita</w:t>
            </w:r>
          </w:p>
        </w:tc>
        <w:tc>
          <w:tcPr>
            <w:tcW w:w="1080" w:type="dxa"/>
            <w:tcBorders>
              <w:top w:val="single" w:sz="4" w:space="0" w:color="auto"/>
              <w:left w:val="single" w:sz="4" w:space="0" w:color="auto"/>
              <w:bottom w:val="single" w:sz="4" w:space="0" w:color="auto"/>
              <w:right w:val="single" w:sz="4" w:space="0" w:color="auto"/>
            </w:tcBorders>
          </w:tcPr>
          <w:p w:rsidR="00B94B23" w:rsidRPr="00B94B23" w:rsidRDefault="00B94B23" w:rsidP="00A066C3">
            <w:pPr>
              <w:autoSpaceDE w:val="0"/>
              <w:autoSpaceDN w:val="0"/>
              <w:adjustRightInd w:val="0"/>
              <w:spacing w:after="0" w:line="240" w:lineRule="auto"/>
              <w:jc w:val="right"/>
              <w:rPr>
                <w:rFonts w:ascii="Times New Roman" w:hAnsi="Times New Roman" w:cs="Times New Roman"/>
                <w:color w:val="000000"/>
              </w:rPr>
            </w:pPr>
            <w:r w:rsidRPr="00604D62">
              <w:rPr>
                <w:rFonts w:ascii="Times New Roman" w:hAnsi="Times New Roman" w:cs="Times New Roman"/>
              </w:rPr>
              <w:t>0.031</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0.030</w:t>
            </w:r>
          </w:p>
        </w:tc>
        <w:tc>
          <w:tcPr>
            <w:tcW w:w="108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0.075</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1,749 </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w:t>
            </w:r>
          </w:p>
        </w:tc>
      </w:tr>
      <w:tr w:rsidR="00B94B23" w:rsidTr="007D455D">
        <w:trPr>
          <w:trHeight w:val="290"/>
        </w:trPr>
        <w:tc>
          <w:tcPr>
            <w:tcW w:w="351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Net Digest</w:t>
            </w:r>
          </w:p>
        </w:tc>
        <w:tc>
          <w:tcPr>
            <w:tcW w:w="1080" w:type="dxa"/>
            <w:tcBorders>
              <w:top w:val="single" w:sz="4" w:space="0" w:color="auto"/>
              <w:left w:val="single" w:sz="4" w:space="0" w:color="auto"/>
              <w:bottom w:val="single" w:sz="4" w:space="0" w:color="auto"/>
              <w:right w:val="single" w:sz="4" w:space="0" w:color="auto"/>
            </w:tcBorders>
          </w:tcPr>
          <w:p w:rsidR="00B94B23" w:rsidRPr="00B94B23" w:rsidRDefault="00B94B23" w:rsidP="00A066C3">
            <w:pPr>
              <w:autoSpaceDE w:val="0"/>
              <w:autoSpaceDN w:val="0"/>
              <w:adjustRightInd w:val="0"/>
              <w:spacing w:after="0" w:line="240" w:lineRule="auto"/>
              <w:jc w:val="right"/>
              <w:rPr>
                <w:rFonts w:ascii="Times New Roman" w:hAnsi="Times New Roman" w:cs="Times New Roman"/>
                <w:color w:val="000000"/>
              </w:rPr>
            </w:pPr>
            <w:r w:rsidRPr="00604D62">
              <w:rPr>
                <w:rFonts w:ascii="Times New Roman" w:hAnsi="Times New Roman" w:cs="Times New Roman"/>
              </w:rPr>
              <w:t>0.031</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0.049</w:t>
            </w:r>
          </w:p>
        </w:tc>
        <w:tc>
          <w:tcPr>
            <w:tcW w:w="108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0.095</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2,385 </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w:t>
            </w:r>
          </w:p>
        </w:tc>
      </w:tr>
      <w:tr w:rsidR="00B94B23" w:rsidTr="007D455D">
        <w:trPr>
          <w:trHeight w:val="290"/>
        </w:trPr>
        <w:tc>
          <w:tcPr>
            <w:tcW w:w="351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Net Digest Per Capita</w:t>
            </w:r>
          </w:p>
        </w:tc>
        <w:tc>
          <w:tcPr>
            <w:tcW w:w="1080" w:type="dxa"/>
            <w:tcBorders>
              <w:top w:val="single" w:sz="4" w:space="0" w:color="auto"/>
              <w:left w:val="single" w:sz="4" w:space="0" w:color="auto"/>
              <w:bottom w:val="single" w:sz="4" w:space="0" w:color="auto"/>
              <w:right w:val="single" w:sz="4" w:space="0" w:color="auto"/>
            </w:tcBorders>
          </w:tcPr>
          <w:p w:rsidR="00B94B23" w:rsidRPr="00B94B23" w:rsidRDefault="00B94B23" w:rsidP="00A066C3">
            <w:pPr>
              <w:autoSpaceDE w:val="0"/>
              <w:autoSpaceDN w:val="0"/>
              <w:adjustRightInd w:val="0"/>
              <w:spacing w:after="0" w:line="240" w:lineRule="auto"/>
              <w:jc w:val="right"/>
              <w:rPr>
                <w:rFonts w:ascii="Times New Roman" w:hAnsi="Times New Roman" w:cs="Times New Roman"/>
                <w:color w:val="000000"/>
              </w:rPr>
            </w:pPr>
            <w:r w:rsidRPr="00604D62">
              <w:rPr>
                <w:rFonts w:ascii="Times New Roman" w:hAnsi="Times New Roman" w:cs="Times New Roman"/>
              </w:rPr>
              <w:t>0.019</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0.035</w:t>
            </w:r>
          </w:p>
        </w:tc>
        <w:tc>
          <w:tcPr>
            <w:tcW w:w="108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0.091</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2,385 </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w:t>
            </w:r>
          </w:p>
        </w:tc>
      </w:tr>
      <w:tr w:rsidR="00B94B23" w:rsidTr="007D455D">
        <w:trPr>
          <w:trHeight w:val="290"/>
        </w:trPr>
        <w:tc>
          <w:tcPr>
            <w:tcW w:w="351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Property Tax Levy</w:t>
            </w:r>
          </w:p>
        </w:tc>
        <w:tc>
          <w:tcPr>
            <w:tcW w:w="1080" w:type="dxa"/>
            <w:tcBorders>
              <w:top w:val="single" w:sz="4" w:space="0" w:color="auto"/>
              <w:left w:val="single" w:sz="4" w:space="0" w:color="auto"/>
              <w:bottom w:val="single" w:sz="4" w:space="0" w:color="auto"/>
              <w:right w:val="single" w:sz="4" w:space="0" w:color="auto"/>
            </w:tcBorders>
          </w:tcPr>
          <w:p w:rsidR="00B94B23" w:rsidRPr="00B94B23" w:rsidRDefault="00B94B23" w:rsidP="00A066C3">
            <w:pPr>
              <w:autoSpaceDE w:val="0"/>
              <w:autoSpaceDN w:val="0"/>
              <w:adjustRightInd w:val="0"/>
              <w:spacing w:after="0" w:line="240" w:lineRule="auto"/>
              <w:jc w:val="right"/>
              <w:rPr>
                <w:rFonts w:ascii="Times New Roman" w:hAnsi="Times New Roman" w:cs="Times New Roman"/>
                <w:color w:val="000000"/>
              </w:rPr>
            </w:pPr>
            <w:r w:rsidRPr="00604D62">
              <w:rPr>
                <w:rFonts w:ascii="Times New Roman" w:hAnsi="Times New Roman" w:cs="Times New Roman"/>
              </w:rPr>
              <w:t>0.039</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0.056</w:t>
            </w:r>
          </w:p>
        </w:tc>
        <w:tc>
          <w:tcPr>
            <w:tcW w:w="108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0.089</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2,383 </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w:t>
            </w:r>
          </w:p>
        </w:tc>
      </w:tr>
      <w:tr w:rsidR="00B94B23" w:rsidTr="007D455D">
        <w:trPr>
          <w:trHeight w:val="290"/>
        </w:trPr>
        <w:tc>
          <w:tcPr>
            <w:tcW w:w="351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Property Tax M&amp;O Revenue</w:t>
            </w:r>
          </w:p>
        </w:tc>
        <w:tc>
          <w:tcPr>
            <w:tcW w:w="1080" w:type="dxa"/>
            <w:tcBorders>
              <w:top w:val="single" w:sz="4" w:space="0" w:color="auto"/>
              <w:left w:val="single" w:sz="4" w:space="0" w:color="auto"/>
              <w:bottom w:val="single" w:sz="4" w:space="0" w:color="auto"/>
              <w:right w:val="single" w:sz="4" w:space="0" w:color="auto"/>
            </w:tcBorders>
          </w:tcPr>
          <w:p w:rsidR="00B94B23" w:rsidRPr="00B94B23" w:rsidRDefault="00B94B23" w:rsidP="00A066C3">
            <w:pPr>
              <w:autoSpaceDE w:val="0"/>
              <w:autoSpaceDN w:val="0"/>
              <w:adjustRightInd w:val="0"/>
              <w:spacing w:after="0" w:line="240" w:lineRule="auto"/>
              <w:jc w:val="right"/>
              <w:rPr>
                <w:rFonts w:ascii="Times New Roman" w:hAnsi="Times New Roman" w:cs="Times New Roman"/>
                <w:color w:val="000000"/>
              </w:rPr>
            </w:pPr>
            <w:r w:rsidRPr="00604D62">
              <w:rPr>
                <w:rFonts w:ascii="Times New Roman" w:hAnsi="Times New Roman" w:cs="Times New Roman"/>
              </w:rPr>
              <w:t>0.047</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0.060</w:t>
            </w:r>
          </w:p>
        </w:tc>
        <w:tc>
          <w:tcPr>
            <w:tcW w:w="108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0.096</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2,385 </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w:t>
            </w:r>
          </w:p>
        </w:tc>
      </w:tr>
      <w:tr w:rsidR="00B94B23" w:rsidTr="007D455D">
        <w:trPr>
          <w:trHeight w:val="290"/>
        </w:trPr>
        <w:tc>
          <w:tcPr>
            <w:tcW w:w="351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Income Per Capita</w:t>
            </w:r>
          </w:p>
        </w:tc>
        <w:tc>
          <w:tcPr>
            <w:tcW w:w="1080" w:type="dxa"/>
            <w:tcBorders>
              <w:top w:val="single" w:sz="4" w:space="0" w:color="auto"/>
              <w:left w:val="single" w:sz="4" w:space="0" w:color="auto"/>
              <w:bottom w:val="single" w:sz="4" w:space="0" w:color="auto"/>
              <w:right w:val="single" w:sz="4" w:space="0" w:color="auto"/>
            </w:tcBorders>
          </w:tcPr>
          <w:p w:rsidR="00B94B23" w:rsidRPr="00B94B23" w:rsidRDefault="00B94B23" w:rsidP="00A066C3">
            <w:pPr>
              <w:autoSpaceDE w:val="0"/>
              <w:autoSpaceDN w:val="0"/>
              <w:adjustRightInd w:val="0"/>
              <w:spacing w:after="0" w:line="240" w:lineRule="auto"/>
              <w:jc w:val="right"/>
              <w:rPr>
                <w:rFonts w:ascii="Times New Roman" w:hAnsi="Times New Roman" w:cs="Times New Roman"/>
                <w:color w:val="000000"/>
              </w:rPr>
            </w:pPr>
            <w:r w:rsidRPr="00604D62">
              <w:rPr>
                <w:rFonts w:ascii="Times New Roman" w:hAnsi="Times New Roman" w:cs="Times New Roman"/>
              </w:rPr>
              <w:t>0.034</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0.031</w:t>
            </w:r>
          </w:p>
        </w:tc>
        <w:tc>
          <w:tcPr>
            <w:tcW w:w="108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0.036</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2,385 </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w:t>
            </w:r>
          </w:p>
        </w:tc>
      </w:tr>
      <w:tr w:rsidR="00B94B23" w:rsidTr="007D455D">
        <w:trPr>
          <w:trHeight w:val="290"/>
        </w:trPr>
        <w:tc>
          <w:tcPr>
            <w:tcW w:w="351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Population</w:t>
            </w:r>
          </w:p>
        </w:tc>
        <w:tc>
          <w:tcPr>
            <w:tcW w:w="1080" w:type="dxa"/>
            <w:tcBorders>
              <w:top w:val="single" w:sz="4" w:space="0" w:color="auto"/>
              <w:left w:val="single" w:sz="4" w:space="0" w:color="auto"/>
              <w:bottom w:val="single" w:sz="4" w:space="0" w:color="auto"/>
              <w:right w:val="single" w:sz="4" w:space="0" w:color="auto"/>
            </w:tcBorders>
          </w:tcPr>
          <w:p w:rsidR="00B94B23" w:rsidRPr="00B94B23" w:rsidRDefault="00B94B23" w:rsidP="00A066C3">
            <w:pPr>
              <w:autoSpaceDE w:val="0"/>
              <w:autoSpaceDN w:val="0"/>
              <w:adjustRightInd w:val="0"/>
              <w:spacing w:after="0" w:line="240" w:lineRule="auto"/>
              <w:jc w:val="right"/>
              <w:rPr>
                <w:rFonts w:ascii="Times New Roman" w:hAnsi="Times New Roman" w:cs="Times New Roman"/>
                <w:color w:val="000000"/>
              </w:rPr>
            </w:pPr>
            <w:r w:rsidRPr="00604D62">
              <w:rPr>
                <w:rFonts w:ascii="Times New Roman" w:hAnsi="Times New Roman" w:cs="Times New Roman"/>
              </w:rPr>
              <w:t>0.011</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0.013</w:t>
            </w:r>
          </w:p>
        </w:tc>
        <w:tc>
          <w:tcPr>
            <w:tcW w:w="108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0.020</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2,385 </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w:t>
            </w:r>
          </w:p>
        </w:tc>
      </w:tr>
      <w:tr w:rsidR="00B94B23" w:rsidTr="007D455D">
        <w:trPr>
          <w:trHeight w:val="290"/>
        </w:trPr>
        <w:tc>
          <w:tcPr>
            <w:tcW w:w="351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Employment</w:t>
            </w:r>
          </w:p>
        </w:tc>
        <w:tc>
          <w:tcPr>
            <w:tcW w:w="1080" w:type="dxa"/>
            <w:tcBorders>
              <w:top w:val="single" w:sz="4" w:space="0" w:color="auto"/>
              <w:left w:val="single" w:sz="4" w:space="0" w:color="auto"/>
              <w:bottom w:val="single" w:sz="4" w:space="0" w:color="auto"/>
              <w:right w:val="single" w:sz="4" w:space="0" w:color="auto"/>
            </w:tcBorders>
          </w:tcPr>
          <w:p w:rsidR="00B94B23" w:rsidRPr="00B94B23" w:rsidRDefault="00B94B23" w:rsidP="00A066C3">
            <w:pPr>
              <w:autoSpaceDE w:val="0"/>
              <w:autoSpaceDN w:val="0"/>
              <w:adjustRightInd w:val="0"/>
              <w:spacing w:after="0" w:line="240" w:lineRule="auto"/>
              <w:jc w:val="right"/>
              <w:rPr>
                <w:rFonts w:ascii="Times New Roman" w:hAnsi="Times New Roman" w:cs="Times New Roman"/>
                <w:color w:val="000000"/>
              </w:rPr>
            </w:pPr>
            <w:r w:rsidRPr="00604D62">
              <w:rPr>
                <w:rFonts w:ascii="Times New Roman" w:hAnsi="Times New Roman" w:cs="Times New Roman"/>
              </w:rPr>
              <w:t>0.006</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0.006</w:t>
            </w:r>
          </w:p>
        </w:tc>
        <w:tc>
          <w:tcPr>
            <w:tcW w:w="108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0.051</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2,226 </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14</w:t>
            </w:r>
          </w:p>
        </w:tc>
      </w:tr>
      <w:tr w:rsidR="00B94B23" w:rsidTr="007D455D">
        <w:trPr>
          <w:trHeight w:val="290"/>
        </w:trPr>
        <w:tc>
          <w:tcPr>
            <w:tcW w:w="351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Foreclosures per 100 Housing Units</w:t>
            </w:r>
          </w:p>
        </w:tc>
        <w:tc>
          <w:tcPr>
            <w:tcW w:w="1080" w:type="dxa"/>
            <w:tcBorders>
              <w:top w:val="single" w:sz="4" w:space="0" w:color="auto"/>
              <w:left w:val="single" w:sz="4" w:space="0" w:color="auto"/>
              <w:bottom w:val="single" w:sz="4" w:space="0" w:color="auto"/>
              <w:right w:val="single" w:sz="4" w:space="0" w:color="auto"/>
            </w:tcBorders>
          </w:tcPr>
          <w:p w:rsidR="00B94B23" w:rsidRPr="00B94B23" w:rsidRDefault="00B94B23" w:rsidP="00A066C3">
            <w:pPr>
              <w:autoSpaceDE w:val="0"/>
              <w:autoSpaceDN w:val="0"/>
              <w:adjustRightInd w:val="0"/>
              <w:spacing w:after="0" w:line="240" w:lineRule="auto"/>
              <w:jc w:val="right"/>
              <w:rPr>
                <w:rFonts w:ascii="Times New Roman" w:hAnsi="Times New Roman" w:cs="Times New Roman"/>
                <w:color w:val="000000"/>
              </w:rPr>
            </w:pPr>
            <w:r w:rsidRPr="00604D62">
              <w:rPr>
                <w:rFonts w:ascii="Times New Roman" w:hAnsi="Times New Roman" w:cs="Times New Roman"/>
              </w:rPr>
              <w:t>0.734</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1.054</w:t>
            </w:r>
          </w:p>
        </w:tc>
        <w:tc>
          <w:tcPr>
            <w:tcW w:w="108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1.063</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954 </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w:t>
            </w:r>
          </w:p>
        </w:tc>
      </w:tr>
      <w:tr w:rsidR="00B94B23" w:rsidTr="007D455D">
        <w:trPr>
          <w:trHeight w:val="290"/>
        </w:trPr>
        <w:tc>
          <w:tcPr>
            <w:tcW w:w="351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Foreclosures per 1000 Population</w:t>
            </w:r>
          </w:p>
        </w:tc>
        <w:tc>
          <w:tcPr>
            <w:tcW w:w="1080" w:type="dxa"/>
            <w:tcBorders>
              <w:top w:val="single" w:sz="4" w:space="0" w:color="auto"/>
              <w:left w:val="single" w:sz="4" w:space="0" w:color="auto"/>
              <w:bottom w:val="single" w:sz="4" w:space="0" w:color="auto"/>
              <w:right w:val="single" w:sz="4" w:space="0" w:color="auto"/>
            </w:tcBorders>
          </w:tcPr>
          <w:p w:rsidR="00B94B23" w:rsidRPr="00B94B23" w:rsidRDefault="00B94B23" w:rsidP="00A066C3">
            <w:pPr>
              <w:autoSpaceDE w:val="0"/>
              <w:autoSpaceDN w:val="0"/>
              <w:adjustRightInd w:val="0"/>
              <w:spacing w:after="0" w:line="240" w:lineRule="auto"/>
              <w:jc w:val="right"/>
              <w:rPr>
                <w:rFonts w:ascii="Times New Roman" w:hAnsi="Times New Roman" w:cs="Times New Roman"/>
                <w:color w:val="000000"/>
              </w:rPr>
            </w:pPr>
            <w:r w:rsidRPr="00604D62">
              <w:rPr>
                <w:rFonts w:ascii="Times New Roman" w:hAnsi="Times New Roman" w:cs="Times New Roman"/>
              </w:rPr>
              <w:t>3.293</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4.560</w:t>
            </w:r>
          </w:p>
        </w:tc>
        <w:tc>
          <w:tcPr>
            <w:tcW w:w="108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4.427</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954 </w:t>
            </w:r>
          </w:p>
        </w:tc>
        <w:tc>
          <w:tcPr>
            <w:tcW w:w="990" w:type="dxa"/>
            <w:tcBorders>
              <w:top w:val="single" w:sz="4" w:space="0" w:color="auto"/>
              <w:left w:val="single" w:sz="4" w:space="0" w:color="auto"/>
              <w:bottom w:val="single" w:sz="4" w:space="0" w:color="auto"/>
              <w:right w:val="single" w:sz="4" w:space="0" w:color="auto"/>
            </w:tcBorders>
          </w:tcPr>
          <w:p w:rsidR="00B94B23" w:rsidRDefault="00B94B23" w:rsidP="00A066C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w:t>
            </w:r>
          </w:p>
        </w:tc>
      </w:tr>
    </w:tbl>
    <w:p w:rsidR="00497E15" w:rsidRDefault="002A4CC4" w:rsidP="007D45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Note: All variables are</w:t>
      </w:r>
      <w:r w:rsidR="007D455D">
        <w:rPr>
          <w:rFonts w:ascii="Times New Roman" w:hAnsi="Times New Roman" w:cs="Times New Roman"/>
          <w:sz w:val="24"/>
          <w:szCs w:val="24"/>
        </w:rPr>
        <w:t xml:space="preserve"> expressed as percent change/100, except the foreclosure variables.</w:t>
      </w:r>
    </w:p>
    <w:p w:rsidR="007D455D" w:rsidRDefault="007D455D" w:rsidP="00D00D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Source: Authors’ calculations.</w:t>
      </w:r>
    </w:p>
    <w:p w:rsidR="007D455D" w:rsidRDefault="007D455D" w:rsidP="00D00DD3">
      <w:pPr>
        <w:spacing w:after="0" w:line="480" w:lineRule="auto"/>
        <w:ind w:firstLine="720"/>
        <w:rPr>
          <w:rFonts w:ascii="Times New Roman" w:hAnsi="Times New Roman" w:cs="Times New Roman"/>
          <w:sz w:val="24"/>
          <w:szCs w:val="24"/>
        </w:rPr>
      </w:pPr>
    </w:p>
    <w:p w:rsidR="00D00DD3" w:rsidRPr="0070486A" w:rsidRDefault="00D00DD3" w:rsidP="00D00DD3">
      <w:pPr>
        <w:keepNext/>
        <w:spacing w:after="0" w:line="240" w:lineRule="auto"/>
        <w:ind w:left="720"/>
        <w:rPr>
          <w:rFonts w:ascii="Times New Roman" w:hAnsi="Times New Roman" w:cs="Times New Roman"/>
          <w:b/>
          <w:sz w:val="24"/>
          <w:szCs w:val="24"/>
        </w:rPr>
      </w:pPr>
      <w:r w:rsidRPr="0070486A">
        <w:rPr>
          <w:rFonts w:ascii="Times New Roman" w:hAnsi="Times New Roman" w:cs="Times New Roman"/>
          <w:b/>
          <w:sz w:val="24"/>
          <w:szCs w:val="24"/>
        </w:rPr>
        <w:t xml:space="preserve">Table </w:t>
      </w:r>
      <w:r w:rsidR="00497E15">
        <w:rPr>
          <w:rFonts w:ascii="Times New Roman" w:hAnsi="Times New Roman" w:cs="Times New Roman"/>
          <w:b/>
          <w:sz w:val="24"/>
          <w:szCs w:val="24"/>
        </w:rPr>
        <w:t>2</w:t>
      </w:r>
      <w:r w:rsidRPr="0070486A">
        <w:rPr>
          <w:rFonts w:ascii="Times New Roman" w:hAnsi="Times New Roman" w:cs="Times New Roman"/>
          <w:b/>
          <w:sz w:val="24"/>
          <w:szCs w:val="24"/>
        </w:rPr>
        <w:t>. Foreclosures in Georgia</w:t>
      </w:r>
      <w:r>
        <w:rPr>
          <w:rFonts w:ascii="Times New Roman" w:hAnsi="Times New Roman" w:cs="Times New Roman"/>
          <w:b/>
          <w:sz w:val="24"/>
          <w:szCs w:val="24"/>
        </w:rPr>
        <w:t xml:space="preserve"> by Zip Code, 2006-2011</w:t>
      </w:r>
    </w:p>
    <w:tbl>
      <w:tblPr>
        <w:tblStyle w:val="TableGrid"/>
        <w:tblW w:w="0" w:type="auto"/>
        <w:tblInd w:w="828" w:type="dxa"/>
        <w:tblLook w:val="04A0" w:firstRow="1" w:lastRow="0" w:firstColumn="1" w:lastColumn="0" w:noHBand="0" w:noVBand="1"/>
      </w:tblPr>
      <w:tblGrid>
        <w:gridCol w:w="1890"/>
        <w:gridCol w:w="2160"/>
        <w:gridCol w:w="1800"/>
        <w:gridCol w:w="1980"/>
      </w:tblGrid>
      <w:tr w:rsidR="00D00DD3" w:rsidTr="007D455D">
        <w:tc>
          <w:tcPr>
            <w:tcW w:w="1890" w:type="dxa"/>
          </w:tcPr>
          <w:p w:rsidR="00D00DD3" w:rsidRPr="0070486A" w:rsidRDefault="00D00DD3" w:rsidP="007D455D">
            <w:pPr>
              <w:keepNext/>
              <w:rPr>
                <w:rFonts w:ascii="Times New Roman" w:hAnsi="Times New Roman" w:cs="Times New Roman"/>
                <w:b/>
                <w:sz w:val="24"/>
                <w:szCs w:val="24"/>
              </w:rPr>
            </w:pPr>
            <w:r w:rsidRPr="0070486A">
              <w:rPr>
                <w:rFonts w:ascii="Times New Roman" w:hAnsi="Times New Roman" w:cs="Times New Roman"/>
                <w:b/>
                <w:sz w:val="24"/>
                <w:szCs w:val="24"/>
              </w:rPr>
              <w:t>Year</w:t>
            </w:r>
          </w:p>
        </w:tc>
        <w:tc>
          <w:tcPr>
            <w:tcW w:w="2160" w:type="dxa"/>
          </w:tcPr>
          <w:p w:rsidR="00D00DD3" w:rsidRPr="0070486A" w:rsidRDefault="00D00DD3" w:rsidP="00B51004">
            <w:pPr>
              <w:keepNext/>
              <w:jc w:val="center"/>
              <w:rPr>
                <w:rFonts w:ascii="Times New Roman" w:hAnsi="Times New Roman" w:cs="Times New Roman"/>
                <w:b/>
                <w:sz w:val="24"/>
                <w:szCs w:val="24"/>
              </w:rPr>
            </w:pPr>
            <w:r w:rsidRPr="0070486A">
              <w:rPr>
                <w:rFonts w:ascii="Times New Roman" w:hAnsi="Times New Roman" w:cs="Times New Roman"/>
                <w:b/>
                <w:sz w:val="24"/>
                <w:szCs w:val="24"/>
              </w:rPr>
              <w:t>Total Foreclosures</w:t>
            </w:r>
          </w:p>
        </w:tc>
        <w:tc>
          <w:tcPr>
            <w:tcW w:w="1800" w:type="dxa"/>
          </w:tcPr>
          <w:p w:rsidR="00D00DD3" w:rsidRPr="0070486A" w:rsidRDefault="00D00DD3" w:rsidP="00B51004">
            <w:pPr>
              <w:keepNext/>
              <w:jc w:val="center"/>
              <w:rPr>
                <w:rFonts w:ascii="Times New Roman" w:hAnsi="Times New Roman" w:cs="Times New Roman"/>
                <w:b/>
                <w:sz w:val="24"/>
                <w:szCs w:val="24"/>
              </w:rPr>
            </w:pPr>
            <w:r w:rsidRPr="0070486A">
              <w:rPr>
                <w:rFonts w:ascii="Times New Roman" w:hAnsi="Times New Roman" w:cs="Times New Roman"/>
                <w:b/>
                <w:sz w:val="24"/>
                <w:szCs w:val="24"/>
              </w:rPr>
              <w:t>Mean</w:t>
            </w:r>
            <w:r>
              <w:rPr>
                <w:rFonts w:ascii="Times New Roman" w:hAnsi="Times New Roman" w:cs="Times New Roman"/>
                <w:b/>
                <w:sz w:val="24"/>
                <w:szCs w:val="24"/>
              </w:rPr>
              <w:t xml:space="preserve"> Number</w:t>
            </w:r>
          </w:p>
        </w:tc>
        <w:tc>
          <w:tcPr>
            <w:tcW w:w="1980" w:type="dxa"/>
          </w:tcPr>
          <w:p w:rsidR="00D00DD3" w:rsidRPr="0070486A" w:rsidRDefault="00D00DD3" w:rsidP="00B51004">
            <w:pPr>
              <w:keepNext/>
              <w:jc w:val="center"/>
              <w:rPr>
                <w:rFonts w:ascii="Times New Roman" w:hAnsi="Times New Roman" w:cs="Times New Roman"/>
                <w:b/>
                <w:sz w:val="24"/>
                <w:szCs w:val="24"/>
              </w:rPr>
            </w:pPr>
            <w:r w:rsidRPr="0070486A">
              <w:rPr>
                <w:rFonts w:ascii="Times New Roman" w:hAnsi="Times New Roman" w:cs="Times New Roman"/>
                <w:b/>
                <w:sz w:val="24"/>
                <w:szCs w:val="24"/>
              </w:rPr>
              <w:t>Median</w:t>
            </w:r>
            <w:r>
              <w:rPr>
                <w:rFonts w:ascii="Times New Roman" w:hAnsi="Times New Roman" w:cs="Times New Roman"/>
                <w:b/>
                <w:sz w:val="24"/>
                <w:szCs w:val="24"/>
              </w:rPr>
              <w:t xml:space="preserve"> Number</w:t>
            </w:r>
          </w:p>
        </w:tc>
      </w:tr>
      <w:tr w:rsidR="00D00DD3" w:rsidTr="007D455D">
        <w:tc>
          <w:tcPr>
            <w:tcW w:w="1890" w:type="dxa"/>
          </w:tcPr>
          <w:p w:rsidR="00D00DD3" w:rsidRPr="00527935" w:rsidRDefault="00D00DD3" w:rsidP="007D455D">
            <w:pPr>
              <w:keepNext/>
              <w:rPr>
                <w:rFonts w:ascii="Times New Roman" w:hAnsi="Times New Roman" w:cs="Times New Roman"/>
                <w:sz w:val="24"/>
                <w:szCs w:val="24"/>
              </w:rPr>
            </w:pPr>
            <w:r w:rsidRPr="00527935">
              <w:rPr>
                <w:rFonts w:ascii="Times New Roman" w:hAnsi="Times New Roman" w:cs="Times New Roman"/>
                <w:sz w:val="24"/>
                <w:szCs w:val="24"/>
              </w:rPr>
              <w:t>2006</w:t>
            </w:r>
          </w:p>
        </w:tc>
        <w:tc>
          <w:tcPr>
            <w:tcW w:w="2160" w:type="dxa"/>
          </w:tcPr>
          <w:p w:rsidR="00D00DD3" w:rsidRPr="00527935" w:rsidRDefault="00D00DD3" w:rsidP="00B51004">
            <w:pPr>
              <w:keepNext/>
              <w:jc w:val="center"/>
              <w:rPr>
                <w:rFonts w:ascii="Times New Roman" w:hAnsi="Times New Roman" w:cs="Times New Roman"/>
                <w:sz w:val="24"/>
                <w:szCs w:val="24"/>
              </w:rPr>
            </w:pPr>
            <w:r w:rsidRPr="0070486A">
              <w:rPr>
                <w:rFonts w:ascii="Times New Roman" w:eastAsia="Times New Roman" w:hAnsi="Times New Roman" w:cs="Times New Roman"/>
                <w:color w:val="000000"/>
                <w:sz w:val="24"/>
                <w:szCs w:val="24"/>
              </w:rPr>
              <w:t>55,615</w:t>
            </w:r>
          </w:p>
        </w:tc>
        <w:tc>
          <w:tcPr>
            <w:tcW w:w="1800" w:type="dxa"/>
          </w:tcPr>
          <w:p w:rsidR="00D00DD3" w:rsidRPr="00527935" w:rsidRDefault="00D00DD3" w:rsidP="00B51004">
            <w:pPr>
              <w:keepNext/>
              <w:jc w:val="center"/>
              <w:rPr>
                <w:rFonts w:ascii="Times New Roman" w:hAnsi="Times New Roman" w:cs="Times New Roman"/>
                <w:sz w:val="24"/>
                <w:szCs w:val="24"/>
              </w:rPr>
            </w:pPr>
            <w:r w:rsidRPr="0070486A">
              <w:rPr>
                <w:rFonts w:ascii="Times New Roman" w:eastAsia="Times New Roman" w:hAnsi="Times New Roman" w:cs="Times New Roman"/>
                <w:color w:val="000000"/>
                <w:sz w:val="24"/>
                <w:szCs w:val="24"/>
              </w:rPr>
              <w:t>75.87</w:t>
            </w:r>
          </w:p>
        </w:tc>
        <w:tc>
          <w:tcPr>
            <w:tcW w:w="1980" w:type="dxa"/>
          </w:tcPr>
          <w:p w:rsidR="00D00DD3" w:rsidRPr="00E55230" w:rsidRDefault="00D00DD3" w:rsidP="00B51004">
            <w:pPr>
              <w:keepNext/>
              <w:jc w:val="center"/>
              <w:rPr>
                <w:rFonts w:ascii="Times New Roman" w:hAnsi="Times New Roman" w:cs="Times New Roman"/>
                <w:sz w:val="24"/>
                <w:szCs w:val="24"/>
              </w:rPr>
            </w:pPr>
            <w:r w:rsidRPr="00100860">
              <w:rPr>
                <w:rFonts w:ascii="Times New Roman" w:hAnsi="Times New Roman" w:cs="Times New Roman"/>
                <w:sz w:val="24"/>
                <w:szCs w:val="24"/>
              </w:rPr>
              <w:t>4</w:t>
            </w:r>
          </w:p>
        </w:tc>
      </w:tr>
      <w:tr w:rsidR="00D00DD3" w:rsidTr="007D455D">
        <w:tc>
          <w:tcPr>
            <w:tcW w:w="1890" w:type="dxa"/>
          </w:tcPr>
          <w:p w:rsidR="00D00DD3" w:rsidRPr="00527935" w:rsidRDefault="00D00DD3" w:rsidP="007D455D">
            <w:pPr>
              <w:keepNext/>
              <w:rPr>
                <w:rFonts w:ascii="Times New Roman" w:hAnsi="Times New Roman" w:cs="Times New Roman"/>
                <w:sz w:val="24"/>
                <w:szCs w:val="24"/>
              </w:rPr>
            </w:pPr>
            <w:r w:rsidRPr="00527935">
              <w:rPr>
                <w:rFonts w:ascii="Times New Roman" w:hAnsi="Times New Roman" w:cs="Times New Roman"/>
                <w:sz w:val="24"/>
                <w:szCs w:val="24"/>
              </w:rPr>
              <w:t>2007</w:t>
            </w:r>
          </w:p>
        </w:tc>
        <w:tc>
          <w:tcPr>
            <w:tcW w:w="2160" w:type="dxa"/>
          </w:tcPr>
          <w:p w:rsidR="00D00DD3" w:rsidRPr="00527935" w:rsidRDefault="00D00DD3" w:rsidP="00B51004">
            <w:pPr>
              <w:keepNext/>
              <w:jc w:val="center"/>
              <w:rPr>
                <w:rFonts w:ascii="Times New Roman" w:hAnsi="Times New Roman" w:cs="Times New Roman"/>
                <w:sz w:val="24"/>
                <w:szCs w:val="24"/>
              </w:rPr>
            </w:pPr>
            <w:r w:rsidRPr="0070486A">
              <w:rPr>
                <w:rFonts w:ascii="Times New Roman" w:eastAsia="Times New Roman" w:hAnsi="Times New Roman" w:cs="Times New Roman"/>
                <w:color w:val="000000"/>
                <w:sz w:val="24"/>
                <w:szCs w:val="24"/>
              </w:rPr>
              <w:t>75,191</w:t>
            </w:r>
          </w:p>
        </w:tc>
        <w:tc>
          <w:tcPr>
            <w:tcW w:w="1800" w:type="dxa"/>
          </w:tcPr>
          <w:p w:rsidR="00D00DD3" w:rsidRPr="00527935" w:rsidRDefault="00D00DD3" w:rsidP="00B51004">
            <w:pPr>
              <w:keepNext/>
              <w:jc w:val="center"/>
              <w:rPr>
                <w:rFonts w:ascii="Times New Roman" w:hAnsi="Times New Roman" w:cs="Times New Roman"/>
                <w:sz w:val="24"/>
                <w:szCs w:val="24"/>
              </w:rPr>
            </w:pPr>
            <w:r w:rsidRPr="0070486A">
              <w:rPr>
                <w:rFonts w:ascii="Times New Roman" w:eastAsia="Times New Roman" w:hAnsi="Times New Roman" w:cs="Times New Roman"/>
                <w:color w:val="000000"/>
                <w:sz w:val="24"/>
                <w:szCs w:val="24"/>
              </w:rPr>
              <w:t>102.58</w:t>
            </w:r>
          </w:p>
        </w:tc>
        <w:tc>
          <w:tcPr>
            <w:tcW w:w="1980" w:type="dxa"/>
          </w:tcPr>
          <w:p w:rsidR="00D00DD3" w:rsidRPr="00E55230" w:rsidRDefault="00D00DD3" w:rsidP="00B51004">
            <w:pPr>
              <w:keepNext/>
              <w:jc w:val="center"/>
              <w:rPr>
                <w:rFonts w:ascii="Times New Roman" w:hAnsi="Times New Roman" w:cs="Times New Roman"/>
                <w:sz w:val="24"/>
                <w:szCs w:val="24"/>
              </w:rPr>
            </w:pPr>
            <w:r w:rsidRPr="00100860">
              <w:rPr>
                <w:rFonts w:ascii="Times New Roman" w:hAnsi="Times New Roman" w:cs="Times New Roman"/>
                <w:sz w:val="24"/>
                <w:szCs w:val="24"/>
              </w:rPr>
              <w:t>11</w:t>
            </w:r>
          </w:p>
        </w:tc>
      </w:tr>
      <w:tr w:rsidR="00D00DD3" w:rsidTr="007D455D">
        <w:tc>
          <w:tcPr>
            <w:tcW w:w="1890" w:type="dxa"/>
          </w:tcPr>
          <w:p w:rsidR="00D00DD3" w:rsidRPr="00527935" w:rsidRDefault="00D00DD3" w:rsidP="007D455D">
            <w:pPr>
              <w:keepNext/>
              <w:rPr>
                <w:rFonts w:ascii="Times New Roman" w:hAnsi="Times New Roman" w:cs="Times New Roman"/>
                <w:sz w:val="24"/>
                <w:szCs w:val="24"/>
              </w:rPr>
            </w:pPr>
            <w:r w:rsidRPr="00527935">
              <w:rPr>
                <w:rFonts w:ascii="Times New Roman" w:hAnsi="Times New Roman" w:cs="Times New Roman"/>
                <w:sz w:val="24"/>
                <w:szCs w:val="24"/>
              </w:rPr>
              <w:t>2008</w:t>
            </w:r>
          </w:p>
        </w:tc>
        <w:tc>
          <w:tcPr>
            <w:tcW w:w="2160" w:type="dxa"/>
          </w:tcPr>
          <w:p w:rsidR="00D00DD3" w:rsidRPr="00527935" w:rsidRDefault="00D00DD3" w:rsidP="00B51004">
            <w:pPr>
              <w:keepNext/>
              <w:jc w:val="center"/>
              <w:rPr>
                <w:rFonts w:ascii="Times New Roman" w:hAnsi="Times New Roman" w:cs="Times New Roman"/>
                <w:sz w:val="24"/>
                <w:szCs w:val="24"/>
              </w:rPr>
            </w:pPr>
            <w:r w:rsidRPr="0070486A">
              <w:rPr>
                <w:rFonts w:ascii="Times New Roman" w:eastAsia="Times New Roman" w:hAnsi="Times New Roman" w:cs="Times New Roman"/>
                <w:color w:val="000000"/>
                <w:sz w:val="24"/>
                <w:szCs w:val="24"/>
              </w:rPr>
              <w:t>75,307</w:t>
            </w:r>
          </w:p>
        </w:tc>
        <w:tc>
          <w:tcPr>
            <w:tcW w:w="1800" w:type="dxa"/>
          </w:tcPr>
          <w:p w:rsidR="00D00DD3" w:rsidRPr="00527935" w:rsidRDefault="00D00DD3" w:rsidP="00B51004">
            <w:pPr>
              <w:keepNext/>
              <w:jc w:val="center"/>
              <w:rPr>
                <w:rFonts w:ascii="Times New Roman" w:hAnsi="Times New Roman" w:cs="Times New Roman"/>
                <w:sz w:val="24"/>
                <w:szCs w:val="24"/>
              </w:rPr>
            </w:pPr>
            <w:r w:rsidRPr="0070486A">
              <w:rPr>
                <w:rFonts w:ascii="Times New Roman" w:eastAsia="Times New Roman" w:hAnsi="Times New Roman" w:cs="Times New Roman"/>
                <w:color w:val="000000"/>
                <w:sz w:val="24"/>
                <w:szCs w:val="24"/>
              </w:rPr>
              <w:t>102.74</w:t>
            </w:r>
          </w:p>
        </w:tc>
        <w:tc>
          <w:tcPr>
            <w:tcW w:w="1980" w:type="dxa"/>
          </w:tcPr>
          <w:p w:rsidR="00D00DD3" w:rsidRPr="00E55230" w:rsidRDefault="00D00DD3" w:rsidP="00B51004">
            <w:pPr>
              <w:keepNext/>
              <w:jc w:val="center"/>
              <w:rPr>
                <w:rFonts w:ascii="Times New Roman" w:hAnsi="Times New Roman" w:cs="Times New Roman"/>
                <w:sz w:val="24"/>
                <w:szCs w:val="24"/>
              </w:rPr>
            </w:pPr>
            <w:r w:rsidRPr="00100860">
              <w:rPr>
                <w:rFonts w:ascii="Times New Roman" w:hAnsi="Times New Roman" w:cs="Times New Roman"/>
                <w:sz w:val="24"/>
                <w:szCs w:val="24"/>
              </w:rPr>
              <w:t>16</w:t>
            </w:r>
          </w:p>
        </w:tc>
      </w:tr>
      <w:tr w:rsidR="00D00DD3" w:rsidTr="007D455D">
        <w:tc>
          <w:tcPr>
            <w:tcW w:w="1890" w:type="dxa"/>
          </w:tcPr>
          <w:p w:rsidR="00D00DD3" w:rsidRPr="00527935" w:rsidRDefault="00D00DD3" w:rsidP="007D455D">
            <w:pPr>
              <w:keepNext/>
              <w:rPr>
                <w:rFonts w:ascii="Times New Roman" w:hAnsi="Times New Roman" w:cs="Times New Roman"/>
                <w:sz w:val="24"/>
                <w:szCs w:val="24"/>
              </w:rPr>
            </w:pPr>
            <w:r w:rsidRPr="00527935">
              <w:rPr>
                <w:rFonts w:ascii="Times New Roman" w:hAnsi="Times New Roman" w:cs="Times New Roman"/>
                <w:sz w:val="24"/>
                <w:szCs w:val="24"/>
              </w:rPr>
              <w:t>2009</w:t>
            </w:r>
          </w:p>
        </w:tc>
        <w:tc>
          <w:tcPr>
            <w:tcW w:w="2160" w:type="dxa"/>
          </w:tcPr>
          <w:p w:rsidR="00D00DD3" w:rsidRPr="00527935" w:rsidRDefault="00D00DD3" w:rsidP="00B51004">
            <w:pPr>
              <w:keepNext/>
              <w:jc w:val="center"/>
              <w:rPr>
                <w:rFonts w:ascii="Times New Roman" w:hAnsi="Times New Roman" w:cs="Times New Roman"/>
                <w:sz w:val="24"/>
                <w:szCs w:val="24"/>
              </w:rPr>
            </w:pPr>
            <w:r w:rsidRPr="0070486A">
              <w:rPr>
                <w:rFonts w:ascii="Times New Roman" w:eastAsia="Times New Roman" w:hAnsi="Times New Roman" w:cs="Times New Roman"/>
                <w:color w:val="000000"/>
                <w:sz w:val="24"/>
                <w:szCs w:val="24"/>
              </w:rPr>
              <w:t>97,195</w:t>
            </w:r>
          </w:p>
        </w:tc>
        <w:tc>
          <w:tcPr>
            <w:tcW w:w="1800" w:type="dxa"/>
          </w:tcPr>
          <w:p w:rsidR="00D00DD3" w:rsidRPr="00527935" w:rsidRDefault="00D00DD3" w:rsidP="00B51004">
            <w:pPr>
              <w:keepNext/>
              <w:jc w:val="center"/>
              <w:rPr>
                <w:rFonts w:ascii="Times New Roman" w:hAnsi="Times New Roman" w:cs="Times New Roman"/>
                <w:sz w:val="24"/>
                <w:szCs w:val="24"/>
              </w:rPr>
            </w:pPr>
            <w:r w:rsidRPr="0070486A">
              <w:rPr>
                <w:rFonts w:ascii="Times New Roman" w:eastAsia="Times New Roman" w:hAnsi="Times New Roman" w:cs="Times New Roman"/>
                <w:color w:val="000000"/>
                <w:sz w:val="24"/>
                <w:szCs w:val="24"/>
              </w:rPr>
              <w:t>132.60</w:t>
            </w:r>
          </w:p>
        </w:tc>
        <w:tc>
          <w:tcPr>
            <w:tcW w:w="1980" w:type="dxa"/>
          </w:tcPr>
          <w:p w:rsidR="00D00DD3" w:rsidRPr="00E55230" w:rsidRDefault="00D00DD3" w:rsidP="00B51004">
            <w:pPr>
              <w:keepNext/>
              <w:jc w:val="center"/>
              <w:rPr>
                <w:rFonts w:ascii="Times New Roman" w:hAnsi="Times New Roman" w:cs="Times New Roman"/>
                <w:sz w:val="24"/>
                <w:szCs w:val="24"/>
              </w:rPr>
            </w:pPr>
            <w:r w:rsidRPr="00100860">
              <w:rPr>
                <w:rFonts w:ascii="Times New Roman" w:hAnsi="Times New Roman" w:cs="Times New Roman"/>
                <w:sz w:val="24"/>
                <w:szCs w:val="24"/>
              </w:rPr>
              <w:t>30</w:t>
            </w:r>
          </w:p>
        </w:tc>
      </w:tr>
      <w:tr w:rsidR="00D00DD3" w:rsidTr="007D455D">
        <w:tc>
          <w:tcPr>
            <w:tcW w:w="1890" w:type="dxa"/>
          </w:tcPr>
          <w:p w:rsidR="00D00DD3" w:rsidRPr="00527935" w:rsidRDefault="00D00DD3" w:rsidP="007D455D">
            <w:pPr>
              <w:keepNext/>
              <w:rPr>
                <w:rFonts w:ascii="Times New Roman" w:hAnsi="Times New Roman" w:cs="Times New Roman"/>
                <w:sz w:val="24"/>
                <w:szCs w:val="24"/>
              </w:rPr>
            </w:pPr>
            <w:r w:rsidRPr="00527935">
              <w:rPr>
                <w:rFonts w:ascii="Times New Roman" w:hAnsi="Times New Roman" w:cs="Times New Roman"/>
                <w:sz w:val="24"/>
                <w:szCs w:val="24"/>
              </w:rPr>
              <w:t>2010</w:t>
            </w:r>
          </w:p>
        </w:tc>
        <w:tc>
          <w:tcPr>
            <w:tcW w:w="2160" w:type="dxa"/>
          </w:tcPr>
          <w:p w:rsidR="00D00DD3" w:rsidRPr="00527935" w:rsidRDefault="00D00DD3" w:rsidP="00B51004">
            <w:pPr>
              <w:keepNext/>
              <w:jc w:val="center"/>
              <w:rPr>
                <w:rFonts w:ascii="Times New Roman" w:hAnsi="Times New Roman" w:cs="Times New Roman"/>
                <w:sz w:val="24"/>
                <w:szCs w:val="24"/>
              </w:rPr>
            </w:pPr>
            <w:r w:rsidRPr="0070486A">
              <w:rPr>
                <w:rFonts w:ascii="Times New Roman" w:eastAsia="Times New Roman" w:hAnsi="Times New Roman" w:cs="Times New Roman"/>
                <w:color w:val="000000"/>
                <w:sz w:val="24"/>
                <w:szCs w:val="24"/>
              </w:rPr>
              <w:t>110,963</w:t>
            </w:r>
          </w:p>
        </w:tc>
        <w:tc>
          <w:tcPr>
            <w:tcW w:w="1800" w:type="dxa"/>
          </w:tcPr>
          <w:p w:rsidR="00D00DD3" w:rsidRPr="00527935" w:rsidRDefault="00D00DD3" w:rsidP="00B51004">
            <w:pPr>
              <w:keepNext/>
              <w:jc w:val="center"/>
              <w:rPr>
                <w:rFonts w:ascii="Times New Roman" w:hAnsi="Times New Roman" w:cs="Times New Roman"/>
                <w:sz w:val="24"/>
                <w:szCs w:val="24"/>
              </w:rPr>
            </w:pPr>
            <w:r w:rsidRPr="0070486A">
              <w:rPr>
                <w:rFonts w:ascii="Times New Roman" w:eastAsia="Times New Roman" w:hAnsi="Times New Roman" w:cs="Times New Roman"/>
                <w:color w:val="000000"/>
                <w:sz w:val="24"/>
                <w:szCs w:val="24"/>
              </w:rPr>
              <w:t>151.38</w:t>
            </w:r>
          </w:p>
        </w:tc>
        <w:tc>
          <w:tcPr>
            <w:tcW w:w="1980" w:type="dxa"/>
          </w:tcPr>
          <w:p w:rsidR="00D00DD3" w:rsidRPr="00E55230" w:rsidRDefault="00D00DD3" w:rsidP="00B51004">
            <w:pPr>
              <w:keepNext/>
              <w:jc w:val="center"/>
              <w:rPr>
                <w:rFonts w:ascii="Times New Roman" w:hAnsi="Times New Roman" w:cs="Times New Roman"/>
                <w:sz w:val="24"/>
                <w:szCs w:val="24"/>
              </w:rPr>
            </w:pPr>
            <w:r w:rsidRPr="00100860">
              <w:rPr>
                <w:rFonts w:ascii="Times New Roman" w:hAnsi="Times New Roman" w:cs="Times New Roman"/>
                <w:sz w:val="24"/>
                <w:szCs w:val="24"/>
              </w:rPr>
              <w:t>38</w:t>
            </w:r>
          </w:p>
        </w:tc>
      </w:tr>
      <w:tr w:rsidR="00D00DD3" w:rsidTr="007D455D">
        <w:tc>
          <w:tcPr>
            <w:tcW w:w="1890" w:type="dxa"/>
          </w:tcPr>
          <w:p w:rsidR="00D00DD3" w:rsidRPr="00527935" w:rsidRDefault="00D00DD3" w:rsidP="007D455D">
            <w:pPr>
              <w:keepNext/>
              <w:rPr>
                <w:rFonts w:ascii="Times New Roman" w:hAnsi="Times New Roman" w:cs="Times New Roman"/>
                <w:sz w:val="24"/>
                <w:szCs w:val="24"/>
              </w:rPr>
            </w:pPr>
            <w:r w:rsidRPr="00527935">
              <w:rPr>
                <w:rFonts w:ascii="Times New Roman" w:hAnsi="Times New Roman" w:cs="Times New Roman"/>
                <w:sz w:val="24"/>
                <w:szCs w:val="24"/>
              </w:rPr>
              <w:t>2011</w:t>
            </w:r>
          </w:p>
        </w:tc>
        <w:tc>
          <w:tcPr>
            <w:tcW w:w="2160" w:type="dxa"/>
          </w:tcPr>
          <w:p w:rsidR="00D00DD3" w:rsidRPr="00527935" w:rsidRDefault="00D00DD3" w:rsidP="00B51004">
            <w:pPr>
              <w:keepNext/>
              <w:jc w:val="center"/>
              <w:rPr>
                <w:rFonts w:ascii="Times New Roman" w:hAnsi="Times New Roman" w:cs="Times New Roman"/>
                <w:sz w:val="24"/>
                <w:szCs w:val="24"/>
              </w:rPr>
            </w:pPr>
            <w:r w:rsidRPr="0070486A">
              <w:rPr>
                <w:rFonts w:ascii="Times New Roman" w:eastAsia="Times New Roman" w:hAnsi="Times New Roman" w:cs="Times New Roman"/>
                <w:color w:val="000000"/>
                <w:sz w:val="24"/>
                <w:szCs w:val="24"/>
              </w:rPr>
              <w:t>85,865</w:t>
            </w:r>
          </w:p>
        </w:tc>
        <w:tc>
          <w:tcPr>
            <w:tcW w:w="1800" w:type="dxa"/>
          </w:tcPr>
          <w:p w:rsidR="00D00DD3" w:rsidRPr="00527935" w:rsidRDefault="00D00DD3" w:rsidP="00B51004">
            <w:pPr>
              <w:keepNext/>
              <w:jc w:val="center"/>
              <w:rPr>
                <w:rFonts w:ascii="Times New Roman" w:hAnsi="Times New Roman" w:cs="Times New Roman"/>
                <w:sz w:val="24"/>
                <w:szCs w:val="24"/>
              </w:rPr>
            </w:pPr>
            <w:r w:rsidRPr="0070486A">
              <w:rPr>
                <w:rFonts w:ascii="Times New Roman" w:eastAsia="Times New Roman" w:hAnsi="Times New Roman" w:cs="Times New Roman"/>
                <w:color w:val="000000"/>
                <w:sz w:val="24"/>
                <w:szCs w:val="24"/>
              </w:rPr>
              <w:t>117.14</w:t>
            </w:r>
          </w:p>
        </w:tc>
        <w:tc>
          <w:tcPr>
            <w:tcW w:w="1980" w:type="dxa"/>
          </w:tcPr>
          <w:p w:rsidR="00D00DD3" w:rsidRPr="00E55230" w:rsidRDefault="00D00DD3" w:rsidP="00B51004">
            <w:pPr>
              <w:keepNext/>
              <w:jc w:val="center"/>
              <w:rPr>
                <w:rFonts w:ascii="Times New Roman" w:hAnsi="Times New Roman" w:cs="Times New Roman"/>
                <w:sz w:val="24"/>
                <w:szCs w:val="24"/>
              </w:rPr>
            </w:pPr>
            <w:r w:rsidRPr="00100860">
              <w:rPr>
                <w:rFonts w:ascii="Times New Roman" w:hAnsi="Times New Roman" w:cs="Times New Roman"/>
                <w:sz w:val="24"/>
                <w:szCs w:val="24"/>
              </w:rPr>
              <w:t>31</w:t>
            </w:r>
          </w:p>
        </w:tc>
      </w:tr>
      <w:tr w:rsidR="00D00DD3" w:rsidTr="007D455D">
        <w:tc>
          <w:tcPr>
            <w:tcW w:w="1890" w:type="dxa"/>
          </w:tcPr>
          <w:p w:rsidR="00D00DD3" w:rsidRPr="00527935" w:rsidRDefault="00D00DD3" w:rsidP="007D455D">
            <w:pPr>
              <w:keepNext/>
              <w:rPr>
                <w:rFonts w:ascii="Times New Roman" w:hAnsi="Times New Roman" w:cs="Times New Roman"/>
                <w:sz w:val="24"/>
                <w:szCs w:val="24"/>
              </w:rPr>
            </w:pPr>
            <w:r w:rsidRPr="00527935">
              <w:rPr>
                <w:rFonts w:ascii="Times New Roman" w:hAnsi="Times New Roman" w:cs="Times New Roman"/>
                <w:sz w:val="24"/>
                <w:szCs w:val="24"/>
              </w:rPr>
              <w:t>Total</w:t>
            </w:r>
            <w:r>
              <w:rPr>
                <w:rFonts w:ascii="Times New Roman" w:hAnsi="Times New Roman" w:cs="Times New Roman"/>
                <w:sz w:val="24"/>
                <w:szCs w:val="24"/>
              </w:rPr>
              <w:t>, 2006-2011</w:t>
            </w:r>
          </w:p>
        </w:tc>
        <w:tc>
          <w:tcPr>
            <w:tcW w:w="2160" w:type="dxa"/>
          </w:tcPr>
          <w:p w:rsidR="00D00DD3" w:rsidRPr="00527935" w:rsidRDefault="00D00DD3" w:rsidP="00B51004">
            <w:pPr>
              <w:keepNext/>
              <w:jc w:val="center"/>
              <w:rPr>
                <w:rFonts w:ascii="Times New Roman" w:hAnsi="Times New Roman" w:cs="Times New Roman"/>
                <w:sz w:val="24"/>
                <w:szCs w:val="24"/>
              </w:rPr>
            </w:pPr>
            <w:r w:rsidRPr="0070486A">
              <w:rPr>
                <w:rFonts w:ascii="Times New Roman" w:eastAsia="Times New Roman" w:hAnsi="Times New Roman" w:cs="Times New Roman"/>
                <w:color w:val="000000"/>
                <w:sz w:val="24"/>
                <w:szCs w:val="24"/>
              </w:rPr>
              <w:t>500,136</w:t>
            </w:r>
          </w:p>
        </w:tc>
        <w:tc>
          <w:tcPr>
            <w:tcW w:w="1800" w:type="dxa"/>
          </w:tcPr>
          <w:p w:rsidR="00D00DD3" w:rsidRPr="00527935" w:rsidRDefault="00D00DD3" w:rsidP="00B51004">
            <w:pPr>
              <w:keepNext/>
              <w:jc w:val="center"/>
              <w:rPr>
                <w:rFonts w:ascii="Times New Roman" w:hAnsi="Times New Roman" w:cs="Times New Roman"/>
                <w:sz w:val="24"/>
                <w:szCs w:val="24"/>
              </w:rPr>
            </w:pPr>
            <w:r w:rsidRPr="0070486A">
              <w:rPr>
                <w:rFonts w:ascii="Times New Roman" w:eastAsia="Times New Roman" w:hAnsi="Times New Roman" w:cs="Times New Roman"/>
                <w:color w:val="000000"/>
                <w:sz w:val="24"/>
                <w:szCs w:val="24"/>
              </w:rPr>
              <w:t>682.31</w:t>
            </w:r>
          </w:p>
        </w:tc>
        <w:tc>
          <w:tcPr>
            <w:tcW w:w="1980" w:type="dxa"/>
          </w:tcPr>
          <w:p w:rsidR="00D00DD3" w:rsidRPr="00E55230" w:rsidRDefault="00D00DD3" w:rsidP="00B51004">
            <w:pPr>
              <w:keepNext/>
              <w:jc w:val="center"/>
              <w:rPr>
                <w:rFonts w:ascii="Times New Roman" w:hAnsi="Times New Roman" w:cs="Times New Roman"/>
                <w:sz w:val="24"/>
                <w:szCs w:val="24"/>
              </w:rPr>
            </w:pPr>
            <w:r w:rsidRPr="00100860">
              <w:rPr>
                <w:rFonts w:ascii="Times New Roman" w:hAnsi="Times New Roman" w:cs="Times New Roman"/>
                <w:sz w:val="24"/>
                <w:szCs w:val="24"/>
              </w:rPr>
              <w:t>136</w:t>
            </w:r>
          </w:p>
        </w:tc>
      </w:tr>
    </w:tbl>
    <w:p w:rsidR="00D00DD3" w:rsidRDefault="00D00DD3" w:rsidP="00D00DD3">
      <w:pPr>
        <w:spacing w:after="0" w:line="480" w:lineRule="auto"/>
        <w:ind w:left="720"/>
        <w:rPr>
          <w:rFonts w:ascii="Times New Roman" w:hAnsi="Times New Roman" w:cs="Times New Roman"/>
          <w:szCs w:val="24"/>
        </w:rPr>
      </w:pPr>
      <w:r w:rsidRPr="00315983">
        <w:rPr>
          <w:rFonts w:ascii="Times New Roman" w:hAnsi="Times New Roman" w:cs="Times New Roman"/>
          <w:szCs w:val="24"/>
        </w:rPr>
        <w:t>Source: Authors’ calculations from RealtyTrac data.</w:t>
      </w:r>
    </w:p>
    <w:p w:rsidR="00531B65" w:rsidRPr="00315983" w:rsidRDefault="00531B65" w:rsidP="00D00DD3">
      <w:pPr>
        <w:spacing w:after="0" w:line="480" w:lineRule="auto"/>
        <w:ind w:left="720"/>
        <w:rPr>
          <w:rFonts w:ascii="Times New Roman" w:hAnsi="Times New Roman" w:cs="Times New Roman"/>
          <w:szCs w:val="24"/>
        </w:rPr>
      </w:pPr>
    </w:p>
    <w:p w:rsidR="00D00DD3" w:rsidRPr="00131B26" w:rsidRDefault="00D00DD3" w:rsidP="00D00DD3">
      <w:pPr>
        <w:spacing w:after="0" w:line="240" w:lineRule="auto"/>
        <w:ind w:left="720"/>
        <w:rPr>
          <w:rFonts w:ascii="Times New Roman" w:hAnsi="Times New Roman" w:cs="Times New Roman"/>
          <w:b/>
          <w:sz w:val="24"/>
          <w:szCs w:val="24"/>
        </w:rPr>
      </w:pPr>
      <w:r w:rsidRPr="00131B26">
        <w:rPr>
          <w:rFonts w:ascii="Times New Roman" w:hAnsi="Times New Roman" w:cs="Times New Roman"/>
          <w:b/>
          <w:sz w:val="24"/>
          <w:szCs w:val="24"/>
        </w:rPr>
        <w:t xml:space="preserve">Table </w:t>
      </w:r>
      <w:r w:rsidR="00497E15">
        <w:rPr>
          <w:rFonts w:ascii="Times New Roman" w:hAnsi="Times New Roman" w:cs="Times New Roman"/>
          <w:b/>
          <w:sz w:val="24"/>
          <w:szCs w:val="24"/>
        </w:rPr>
        <w:t>3</w:t>
      </w:r>
      <w:r w:rsidRPr="00131B26">
        <w:rPr>
          <w:rFonts w:ascii="Times New Roman" w:hAnsi="Times New Roman" w:cs="Times New Roman"/>
          <w:b/>
          <w:sz w:val="24"/>
          <w:szCs w:val="24"/>
        </w:rPr>
        <w:t>: Number of Georgia Zip Codes with Positive Foreclosures by Year</w:t>
      </w:r>
    </w:p>
    <w:tbl>
      <w:tblPr>
        <w:tblW w:w="784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2520"/>
        <w:gridCol w:w="1710"/>
      </w:tblGrid>
      <w:tr w:rsidR="00D00DD3" w:rsidRPr="00A73C86" w:rsidTr="007D455D">
        <w:trPr>
          <w:trHeight w:val="305"/>
        </w:trPr>
        <w:tc>
          <w:tcPr>
            <w:tcW w:w="3615" w:type="dxa"/>
            <w:shd w:val="clear" w:color="auto" w:fill="auto"/>
            <w:vAlign w:val="bottom"/>
            <w:hideMark/>
          </w:tcPr>
          <w:p w:rsidR="00D00DD3" w:rsidRPr="00131B26" w:rsidRDefault="00D00DD3" w:rsidP="007D455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w:t>
            </w:r>
            <w:r w:rsidRPr="00131B26">
              <w:rPr>
                <w:rFonts w:ascii="Times New Roman" w:eastAsia="Times New Roman" w:hAnsi="Times New Roman" w:cs="Times New Roman"/>
                <w:b/>
                <w:color w:val="000000"/>
                <w:sz w:val="24"/>
                <w:szCs w:val="24"/>
              </w:rPr>
              <w:t xml:space="preserve">ears </w:t>
            </w:r>
            <w:r>
              <w:rPr>
                <w:rFonts w:ascii="Times New Roman" w:eastAsia="Times New Roman" w:hAnsi="Times New Roman" w:cs="Times New Roman"/>
                <w:b/>
                <w:color w:val="000000"/>
                <w:sz w:val="24"/>
                <w:szCs w:val="24"/>
              </w:rPr>
              <w:t>with P</w:t>
            </w:r>
            <w:r w:rsidRPr="00131B26">
              <w:rPr>
                <w:rFonts w:ascii="Times New Roman" w:eastAsia="Times New Roman" w:hAnsi="Times New Roman" w:cs="Times New Roman"/>
                <w:b/>
                <w:color w:val="000000"/>
                <w:sz w:val="24"/>
                <w:szCs w:val="24"/>
              </w:rPr>
              <w:t>ositive</w:t>
            </w:r>
            <w:r>
              <w:rPr>
                <w:rFonts w:ascii="Times New Roman" w:eastAsia="Times New Roman" w:hAnsi="Times New Roman" w:cs="Times New Roman"/>
                <w:b/>
                <w:color w:val="000000"/>
                <w:sz w:val="24"/>
                <w:szCs w:val="24"/>
              </w:rPr>
              <w:t xml:space="preserve"> F</w:t>
            </w:r>
            <w:r w:rsidRPr="00131B26">
              <w:rPr>
                <w:rFonts w:ascii="Times New Roman" w:eastAsia="Times New Roman" w:hAnsi="Times New Roman" w:cs="Times New Roman"/>
                <w:b/>
                <w:color w:val="000000"/>
                <w:sz w:val="24"/>
                <w:szCs w:val="24"/>
              </w:rPr>
              <w:t>oreclosures</w:t>
            </w:r>
          </w:p>
        </w:tc>
        <w:tc>
          <w:tcPr>
            <w:tcW w:w="2520" w:type="dxa"/>
            <w:shd w:val="clear" w:color="auto" w:fill="auto"/>
            <w:noWrap/>
            <w:vAlign w:val="bottom"/>
            <w:hideMark/>
          </w:tcPr>
          <w:p w:rsidR="00D00DD3" w:rsidRPr="00131B26" w:rsidRDefault="00D00DD3" w:rsidP="00B51004">
            <w:pPr>
              <w:spacing w:after="0" w:line="240" w:lineRule="auto"/>
              <w:jc w:val="center"/>
              <w:rPr>
                <w:rFonts w:ascii="Times New Roman" w:eastAsia="Times New Roman" w:hAnsi="Times New Roman" w:cs="Times New Roman"/>
                <w:b/>
                <w:color w:val="000000"/>
                <w:sz w:val="24"/>
                <w:szCs w:val="24"/>
              </w:rPr>
            </w:pPr>
            <w:r w:rsidRPr="00131B26">
              <w:rPr>
                <w:rFonts w:ascii="Times New Roman" w:eastAsia="Times New Roman" w:hAnsi="Times New Roman" w:cs="Times New Roman"/>
                <w:b/>
                <w:color w:val="000000"/>
                <w:sz w:val="24"/>
                <w:szCs w:val="24"/>
              </w:rPr>
              <w:t>Number of Zip Codes</w:t>
            </w:r>
          </w:p>
        </w:tc>
        <w:tc>
          <w:tcPr>
            <w:tcW w:w="1710" w:type="dxa"/>
            <w:shd w:val="clear" w:color="auto" w:fill="auto"/>
            <w:noWrap/>
            <w:vAlign w:val="bottom"/>
            <w:hideMark/>
          </w:tcPr>
          <w:p w:rsidR="00D00DD3" w:rsidRPr="00131B26" w:rsidRDefault="00D00DD3" w:rsidP="00B51004">
            <w:pPr>
              <w:spacing w:after="0" w:line="240" w:lineRule="auto"/>
              <w:jc w:val="center"/>
              <w:rPr>
                <w:rFonts w:ascii="Times New Roman" w:eastAsia="Times New Roman" w:hAnsi="Times New Roman" w:cs="Times New Roman"/>
                <w:b/>
                <w:color w:val="000000"/>
                <w:sz w:val="24"/>
                <w:szCs w:val="24"/>
              </w:rPr>
            </w:pPr>
            <w:r w:rsidRPr="00131B26">
              <w:rPr>
                <w:rFonts w:ascii="Times New Roman" w:eastAsia="Times New Roman" w:hAnsi="Times New Roman" w:cs="Times New Roman"/>
                <w:b/>
                <w:color w:val="000000"/>
                <w:sz w:val="24"/>
                <w:szCs w:val="24"/>
              </w:rPr>
              <w:t>Percent</w:t>
            </w:r>
          </w:p>
        </w:tc>
      </w:tr>
      <w:tr w:rsidR="00D00DD3" w:rsidRPr="00A73C86" w:rsidTr="007D455D">
        <w:trPr>
          <w:trHeight w:val="288"/>
        </w:trPr>
        <w:tc>
          <w:tcPr>
            <w:tcW w:w="3615" w:type="dxa"/>
            <w:shd w:val="clear" w:color="auto" w:fill="auto"/>
            <w:noWrap/>
            <w:vAlign w:val="bottom"/>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6</w:t>
            </w:r>
          </w:p>
        </w:tc>
        <w:tc>
          <w:tcPr>
            <w:tcW w:w="2520" w:type="dxa"/>
            <w:shd w:val="clear" w:color="auto" w:fill="auto"/>
            <w:noWrap/>
            <w:vAlign w:val="bottom"/>
            <w:hideMark/>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478</w:t>
            </w:r>
          </w:p>
        </w:tc>
        <w:tc>
          <w:tcPr>
            <w:tcW w:w="1710" w:type="dxa"/>
            <w:shd w:val="clear" w:color="auto" w:fill="auto"/>
            <w:noWrap/>
            <w:vAlign w:val="bottom"/>
            <w:hideMark/>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65.21</w:t>
            </w:r>
          </w:p>
        </w:tc>
      </w:tr>
      <w:tr w:rsidR="00D00DD3" w:rsidRPr="00A73C86" w:rsidTr="007D455D">
        <w:trPr>
          <w:trHeight w:val="288"/>
        </w:trPr>
        <w:tc>
          <w:tcPr>
            <w:tcW w:w="3615" w:type="dxa"/>
            <w:shd w:val="clear" w:color="auto" w:fill="auto"/>
            <w:noWrap/>
            <w:vAlign w:val="bottom"/>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5</w:t>
            </w:r>
          </w:p>
        </w:tc>
        <w:tc>
          <w:tcPr>
            <w:tcW w:w="2520" w:type="dxa"/>
            <w:shd w:val="clear" w:color="auto" w:fill="auto"/>
            <w:noWrap/>
            <w:vAlign w:val="bottom"/>
            <w:hideMark/>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85</w:t>
            </w:r>
          </w:p>
        </w:tc>
        <w:tc>
          <w:tcPr>
            <w:tcW w:w="1710" w:type="dxa"/>
            <w:shd w:val="clear" w:color="auto" w:fill="auto"/>
            <w:noWrap/>
            <w:vAlign w:val="bottom"/>
            <w:hideMark/>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11.6</w:t>
            </w:r>
          </w:p>
        </w:tc>
      </w:tr>
      <w:tr w:rsidR="00D00DD3" w:rsidRPr="00A73C86" w:rsidTr="007D455D">
        <w:trPr>
          <w:trHeight w:val="288"/>
        </w:trPr>
        <w:tc>
          <w:tcPr>
            <w:tcW w:w="3615" w:type="dxa"/>
            <w:shd w:val="clear" w:color="auto" w:fill="auto"/>
            <w:noWrap/>
            <w:vAlign w:val="bottom"/>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4</w:t>
            </w:r>
          </w:p>
        </w:tc>
        <w:tc>
          <w:tcPr>
            <w:tcW w:w="2520" w:type="dxa"/>
            <w:shd w:val="clear" w:color="auto" w:fill="auto"/>
            <w:noWrap/>
            <w:vAlign w:val="bottom"/>
            <w:hideMark/>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49</w:t>
            </w:r>
          </w:p>
        </w:tc>
        <w:tc>
          <w:tcPr>
            <w:tcW w:w="1710" w:type="dxa"/>
            <w:shd w:val="clear" w:color="auto" w:fill="auto"/>
            <w:noWrap/>
            <w:vAlign w:val="bottom"/>
            <w:hideMark/>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6.68</w:t>
            </w:r>
          </w:p>
        </w:tc>
      </w:tr>
      <w:tr w:rsidR="00D00DD3" w:rsidRPr="00A73C86" w:rsidTr="007D455D">
        <w:trPr>
          <w:trHeight w:val="288"/>
        </w:trPr>
        <w:tc>
          <w:tcPr>
            <w:tcW w:w="3615" w:type="dxa"/>
            <w:shd w:val="clear" w:color="auto" w:fill="auto"/>
            <w:noWrap/>
            <w:vAlign w:val="bottom"/>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3</w:t>
            </w:r>
          </w:p>
        </w:tc>
        <w:tc>
          <w:tcPr>
            <w:tcW w:w="2520" w:type="dxa"/>
            <w:shd w:val="clear" w:color="auto" w:fill="auto"/>
            <w:noWrap/>
            <w:vAlign w:val="bottom"/>
            <w:hideMark/>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31</w:t>
            </w:r>
          </w:p>
        </w:tc>
        <w:tc>
          <w:tcPr>
            <w:tcW w:w="1710" w:type="dxa"/>
            <w:shd w:val="clear" w:color="auto" w:fill="auto"/>
            <w:noWrap/>
            <w:vAlign w:val="bottom"/>
            <w:hideMark/>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4.23</w:t>
            </w:r>
          </w:p>
        </w:tc>
      </w:tr>
      <w:tr w:rsidR="00D00DD3" w:rsidRPr="00A73C86" w:rsidTr="007D455D">
        <w:trPr>
          <w:trHeight w:val="288"/>
        </w:trPr>
        <w:tc>
          <w:tcPr>
            <w:tcW w:w="3615" w:type="dxa"/>
            <w:shd w:val="clear" w:color="auto" w:fill="auto"/>
            <w:noWrap/>
            <w:vAlign w:val="bottom"/>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2</w:t>
            </w:r>
          </w:p>
        </w:tc>
        <w:tc>
          <w:tcPr>
            <w:tcW w:w="2520" w:type="dxa"/>
            <w:shd w:val="clear" w:color="auto" w:fill="auto"/>
            <w:noWrap/>
            <w:vAlign w:val="bottom"/>
            <w:hideMark/>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16</w:t>
            </w:r>
          </w:p>
        </w:tc>
        <w:tc>
          <w:tcPr>
            <w:tcW w:w="1710" w:type="dxa"/>
            <w:shd w:val="clear" w:color="auto" w:fill="auto"/>
            <w:noWrap/>
            <w:vAlign w:val="bottom"/>
            <w:hideMark/>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2.18</w:t>
            </w:r>
          </w:p>
        </w:tc>
      </w:tr>
      <w:tr w:rsidR="00D00DD3" w:rsidRPr="00A73C86" w:rsidTr="007D455D">
        <w:trPr>
          <w:trHeight w:val="288"/>
        </w:trPr>
        <w:tc>
          <w:tcPr>
            <w:tcW w:w="3615" w:type="dxa"/>
            <w:shd w:val="clear" w:color="auto" w:fill="auto"/>
            <w:noWrap/>
            <w:vAlign w:val="bottom"/>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1</w:t>
            </w:r>
          </w:p>
        </w:tc>
        <w:tc>
          <w:tcPr>
            <w:tcW w:w="2520" w:type="dxa"/>
            <w:shd w:val="clear" w:color="auto" w:fill="auto"/>
            <w:noWrap/>
            <w:vAlign w:val="bottom"/>
            <w:hideMark/>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23</w:t>
            </w:r>
          </w:p>
        </w:tc>
        <w:tc>
          <w:tcPr>
            <w:tcW w:w="1710" w:type="dxa"/>
            <w:shd w:val="clear" w:color="auto" w:fill="auto"/>
            <w:noWrap/>
            <w:vAlign w:val="bottom"/>
            <w:hideMark/>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3.14</w:t>
            </w:r>
          </w:p>
        </w:tc>
      </w:tr>
      <w:tr w:rsidR="00D00DD3" w:rsidRPr="00A73C86" w:rsidTr="007D455D">
        <w:trPr>
          <w:trHeight w:val="288"/>
        </w:trPr>
        <w:tc>
          <w:tcPr>
            <w:tcW w:w="3615" w:type="dxa"/>
            <w:shd w:val="clear" w:color="auto" w:fill="auto"/>
            <w:noWrap/>
            <w:vAlign w:val="bottom"/>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0</w:t>
            </w:r>
          </w:p>
        </w:tc>
        <w:tc>
          <w:tcPr>
            <w:tcW w:w="2520" w:type="dxa"/>
            <w:shd w:val="clear" w:color="auto" w:fill="auto"/>
            <w:noWrap/>
            <w:vAlign w:val="bottom"/>
            <w:hideMark/>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51</w:t>
            </w:r>
          </w:p>
        </w:tc>
        <w:tc>
          <w:tcPr>
            <w:tcW w:w="1710" w:type="dxa"/>
            <w:shd w:val="clear" w:color="auto" w:fill="auto"/>
            <w:noWrap/>
            <w:vAlign w:val="bottom"/>
            <w:hideMark/>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6.96</w:t>
            </w:r>
          </w:p>
        </w:tc>
      </w:tr>
      <w:tr w:rsidR="00D00DD3" w:rsidRPr="00A73C86" w:rsidTr="007D455D">
        <w:trPr>
          <w:trHeight w:val="288"/>
        </w:trPr>
        <w:tc>
          <w:tcPr>
            <w:tcW w:w="3615" w:type="dxa"/>
            <w:shd w:val="clear" w:color="auto" w:fill="auto"/>
            <w:noWrap/>
            <w:vAlign w:val="bottom"/>
            <w:hideMark/>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Total</w:t>
            </w:r>
          </w:p>
        </w:tc>
        <w:tc>
          <w:tcPr>
            <w:tcW w:w="2520" w:type="dxa"/>
            <w:shd w:val="clear" w:color="auto" w:fill="auto"/>
            <w:noWrap/>
            <w:vAlign w:val="bottom"/>
            <w:hideMark/>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733</w:t>
            </w:r>
          </w:p>
        </w:tc>
        <w:tc>
          <w:tcPr>
            <w:tcW w:w="1710" w:type="dxa"/>
            <w:shd w:val="clear" w:color="auto" w:fill="auto"/>
            <w:noWrap/>
            <w:vAlign w:val="bottom"/>
            <w:hideMark/>
          </w:tcPr>
          <w:p w:rsidR="00D00DD3" w:rsidRPr="0070486A" w:rsidRDefault="00D00DD3" w:rsidP="00B51004">
            <w:pPr>
              <w:spacing w:after="0" w:line="240" w:lineRule="auto"/>
              <w:jc w:val="center"/>
              <w:rPr>
                <w:rFonts w:ascii="Times New Roman" w:eastAsia="Times New Roman" w:hAnsi="Times New Roman" w:cs="Times New Roman"/>
                <w:color w:val="000000"/>
                <w:sz w:val="24"/>
                <w:szCs w:val="24"/>
              </w:rPr>
            </w:pPr>
            <w:r w:rsidRPr="0070486A">
              <w:rPr>
                <w:rFonts w:ascii="Times New Roman" w:eastAsia="Times New Roman" w:hAnsi="Times New Roman" w:cs="Times New Roman"/>
                <w:color w:val="000000"/>
                <w:sz w:val="24"/>
                <w:szCs w:val="24"/>
              </w:rPr>
              <w:t>100</w:t>
            </w:r>
          </w:p>
        </w:tc>
      </w:tr>
    </w:tbl>
    <w:p w:rsidR="00D00DD3" w:rsidRPr="00644B6C" w:rsidRDefault="00D00DD3" w:rsidP="00D00DD3">
      <w:pPr>
        <w:spacing w:after="0" w:line="480" w:lineRule="auto"/>
        <w:ind w:left="720"/>
        <w:rPr>
          <w:rFonts w:ascii="Times New Roman" w:hAnsi="Times New Roman" w:cs="Times New Roman"/>
          <w:szCs w:val="24"/>
        </w:rPr>
      </w:pPr>
      <w:r w:rsidRPr="00644B6C">
        <w:rPr>
          <w:rFonts w:ascii="Times New Roman" w:hAnsi="Times New Roman" w:cs="Times New Roman"/>
          <w:szCs w:val="24"/>
        </w:rPr>
        <w:t>Source: Authors’ calculations from RealtyTrac data.</w:t>
      </w:r>
    </w:p>
    <w:p w:rsidR="0021250B" w:rsidRDefault="0021250B" w:rsidP="00D00DD3">
      <w:pPr>
        <w:autoSpaceDE w:val="0"/>
        <w:autoSpaceDN w:val="0"/>
        <w:adjustRightInd w:val="0"/>
        <w:spacing w:after="0" w:line="480" w:lineRule="auto"/>
        <w:ind w:firstLine="720"/>
        <w:rPr>
          <w:rFonts w:ascii="Times New Roman" w:hAnsi="Times New Roman" w:cs="Times New Roman"/>
          <w:sz w:val="24"/>
          <w:szCs w:val="24"/>
        </w:rPr>
        <w:sectPr w:rsidR="0021250B" w:rsidSect="00531B65">
          <w:footerReference w:type="default" r:id="rId23"/>
          <w:pgSz w:w="12240" w:h="15840"/>
          <w:pgMar w:top="1440" w:right="1080" w:bottom="1440" w:left="1296" w:header="720" w:footer="720" w:gutter="0"/>
          <w:cols w:space="720"/>
          <w:docGrid w:linePitch="360"/>
        </w:sectPr>
      </w:pPr>
    </w:p>
    <w:bookmarkStart w:id="1" w:name="_MON_1435129862"/>
    <w:bookmarkEnd w:id="1"/>
    <w:p w:rsidR="00D00DD3" w:rsidRDefault="003E513D" w:rsidP="00A11DFF">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object w:dxaOrig="12689" w:dyaOrig="10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35pt;height:491.9pt" o:ole="">
            <v:imagedata r:id="rId24" o:title=""/>
          </v:shape>
          <o:OLEObject Type="Embed" ProgID="Excel.Sheet.12" ShapeID="_x0000_i1025" DrawAspect="Content" ObjectID="_1442999240" r:id="rId25"/>
        </w:object>
      </w:r>
    </w:p>
    <w:bookmarkStart w:id="2" w:name="_MON_1435129254"/>
    <w:bookmarkEnd w:id="2"/>
    <w:p w:rsidR="00D00DD3" w:rsidRDefault="003B6A2C" w:rsidP="00A11D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object w:dxaOrig="12730" w:dyaOrig="10155">
          <v:shape id="_x0000_i1026" type="#_x0000_t75" style="width:585.55pt;height:468.25pt" o:ole="">
            <v:imagedata r:id="rId26" o:title=""/>
          </v:shape>
          <o:OLEObject Type="Embed" ProgID="Excel.Sheet.12" ShapeID="_x0000_i1026" DrawAspect="Content" ObjectID="_1442999241" r:id="rId27"/>
        </w:object>
      </w:r>
    </w:p>
    <w:bookmarkStart w:id="3" w:name="_MON_1435060201"/>
    <w:bookmarkEnd w:id="3"/>
    <w:p w:rsidR="00493B8D" w:rsidRPr="006D3591" w:rsidRDefault="003E513D" w:rsidP="00A11D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object w:dxaOrig="12826" w:dyaOrig="9545">
          <v:shape id="_x0000_i1027" type="#_x0000_t75" style="width:628.35pt;height:468.25pt" o:ole="">
            <v:imagedata r:id="rId28" o:title=""/>
          </v:shape>
          <o:OLEObject Type="Embed" ProgID="Excel.Sheet.12" ShapeID="_x0000_i1027" DrawAspect="Content" ObjectID="_1442999242" r:id="rId29"/>
        </w:object>
      </w:r>
    </w:p>
    <w:sectPr w:rsidR="00493B8D" w:rsidRPr="006D3591" w:rsidSect="000F3C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AF4" w:rsidRDefault="00F65AF4" w:rsidP="003E5466">
      <w:pPr>
        <w:spacing w:after="0" w:line="240" w:lineRule="auto"/>
      </w:pPr>
      <w:r>
        <w:separator/>
      </w:r>
    </w:p>
  </w:endnote>
  <w:endnote w:type="continuationSeparator" w:id="0">
    <w:p w:rsidR="00F65AF4" w:rsidRDefault="00F65AF4" w:rsidP="003E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478762"/>
      <w:docPartObj>
        <w:docPartGallery w:val="Page Numbers (Bottom of Page)"/>
        <w:docPartUnique/>
      </w:docPartObj>
    </w:sdtPr>
    <w:sdtEndPr>
      <w:rPr>
        <w:rFonts w:ascii="Times New Roman" w:hAnsi="Times New Roman" w:cs="Times New Roman"/>
        <w:noProof/>
        <w:sz w:val="20"/>
        <w:szCs w:val="20"/>
      </w:rPr>
    </w:sdtEndPr>
    <w:sdtContent>
      <w:p w:rsidR="007D7087" w:rsidRPr="003E5466" w:rsidRDefault="007D7087">
        <w:pPr>
          <w:pStyle w:val="Footer"/>
          <w:jc w:val="center"/>
          <w:rPr>
            <w:rFonts w:ascii="Times New Roman" w:hAnsi="Times New Roman" w:cs="Times New Roman"/>
            <w:sz w:val="20"/>
            <w:szCs w:val="20"/>
          </w:rPr>
        </w:pPr>
        <w:r w:rsidRPr="003E5466">
          <w:rPr>
            <w:rFonts w:ascii="Times New Roman" w:hAnsi="Times New Roman" w:cs="Times New Roman"/>
            <w:sz w:val="20"/>
            <w:szCs w:val="20"/>
          </w:rPr>
          <w:fldChar w:fldCharType="begin"/>
        </w:r>
        <w:r w:rsidRPr="003E5466">
          <w:rPr>
            <w:rFonts w:ascii="Times New Roman" w:hAnsi="Times New Roman" w:cs="Times New Roman"/>
            <w:sz w:val="20"/>
            <w:szCs w:val="20"/>
          </w:rPr>
          <w:instrText xml:space="preserve"> PAGE   \* MERGEFORMAT </w:instrText>
        </w:r>
        <w:r w:rsidRPr="003E5466">
          <w:rPr>
            <w:rFonts w:ascii="Times New Roman" w:hAnsi="Times New Roman" w:cs="Times New Roman"/>
            <w:sz w:val="20"/>
            <w:szCs w:val="20"/>
          </w:rPr>
          <w:fldChar w:fldCharType="separate"/>
        </w:r>
        <w:r w:rsidR="008465CC">
          <w:rPr>
            <w:rFonts w:ascii="Times New Roman" w:hAnsi="Times New Roman" w:cs="Times New Roman"/>
            <w:noProof/>
            <w:sz w:val="20"/>
            <w:szCs w:val="20"/>
          </w:rPr>
          <w:t>1</w:t>
        </w:r>
        <w:r w:rsidRPr="003E5466">
          <w:rPr>
            <w:rFonts w:ascii="Times New Roman" w:hAnsi="Times New Roman" w:cs="Times New Roman"/>
            <w:noProof/>
            <w:sz w:val="20"/>
            <w:szCs w:val="20"/>
          </w:rPr>
          <w:fldChar w:fldCharType="end"/>
        </w:r>
      </w:p>
    </w:sdtContent>
  </w:sdt>
  <w:p w:rsidR="007D7087" w:rsidRDefault="007D7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AF4" w:rsidRDefault="00F65AF4" w:rsidP="003E5466">
      <w:pPr>
        <w:spacing w:after="0" w:line="240" w:lineRule="auto"/>
      </w:pPr>
      <w:r>
        <w:separator/>
      </w:r>
    </w:p>
  </w:footnote>
  <w:footnote w:type="continuationSeparator" w:id="0">
    <w:p w:rsidR="00F65AF4" w:rsidRDefault="00F65AF4" w:rsidP="003E5466">
      <w:pPr>
        <w:spacing w:after="0" w:line="240" w:lineRule="auto"/>
      </w:pPr>
      <w:r>
        <w:continuationSeparator/>
      </w:r>
    </w:p>
  </w:footnote>
  <w:footnote w:id="1">
    <w:p w:rsidR="007D7087" w:rsidRDefault="007D7087">
      <w:pPr>
        <w:pStyle w:val="FootnoteText"/>
      </w:pPr>
      <w:r>
        <w:rPr>
          <w:rStyle w:val="FootnoteReference"/>
        </w:rPr>
        <w:footnoteRef/>
      </w:r>
      <w:r>
        <w:t xml:space="preserve"> These propriety data were purchased from RealtyTrac, with the Lincoln Insitute of Land Policy providing funding for the purchase.  RealtyTrac also provides </w:t>
      </w:r>
      <w:r w:rsidRPr="00CB0721">
        <w:t xml:space="preserve">these data </w:t>
      </w:r>
      <w:r>
        <w:t xml:space="preserve">on a monthly and quarterly basis, and also makes available </w:t>
      </w:r>
      <w:r w:rsidRPr="00CB0721">
        <w:t>information on the “inventory” of foreclosed properties (e.g., the stock of foreclosures).</w:t>
      </w:r>
    </w:p>
  </w:footnote>
  <w:footnote w:id="2">
    <w:p w:rsidR="007D7087" w:rsidRDefault="007D7087" w:rsidP="00197294">
      <w:pPr>
        <w:pStyle w:val="FootnoteText"/>
      </w:pPr>
      <w:r>
        <w:rPr>
          <w:rStyle w:val="FootnoteReference"/>
        </w:rPr>
        <w:footnoteRef/>
      </w:r>
      <w:r>
        <w:t xml:space="preserve"> See </w:t>
      </w:r>
      <w:hyperlink r:id="rId1" w:history="1">
        <w:r w:rsidRPr="000D789F">
          <w:rPr>
            <w:rStyle w:val="Hyperlink"/>
          </w:rPr>
          <w:t>http://www.census.gov/govs/estimate</w:t>
        </w:r>
      </w:hyperlink>
      <w:r>
        <w:t>.</w:t>
      </w:r>
    </w:p>
  </w:footnote>
  <w:footnote w:id="3">
    <w:p w:rsidR="007D7087" w:rsidRDefault="007D7087" w:rsidP="00197294">
      <w:pPr>
        <w:pStyle w:val="FootnoteText"/>
      </w:pPr>
      <w:r>
        <w:rPr>
          <w:rStyle w:val="FootnoteReference"/>
        </w:rPr>
        <w:footnoteRef/>
      </w:r>
      <w:r>
        <w:t xml:space="preserve">  The assessment process is analyzed in detail by Diaz (1990), Quan and Quigley (1991), Wolverton and Gallimore (1999), and McAllister et al. (2003).</w:t>
      </w:r>
    </w:p>
  </w:footnote>
  <w:footnote w:id="4">
    <w:p w:rsidR="007D7087" w:rsidRPr="00E21628" w:rsidRDefault="007D7087" w:rsidP="00197294">
      <w:pPr>
        <w:autoSpaceDE w:val="0"/>
        <w:autoSpaceDN w:val="0"/>
        <w:adjustRightInd w:val="0"/>
        <w:spacing w:after="0" w:line="240" w:lineRule="auto"/>
        <w:rPr>
          <w:rFonts w:ascii="Times New Roman" w:hAnsi="Times New Roman" w:cs="Times New Roman"/>
          <w:sz w:val="20"/>
          <w:szCs w:val="20"/>
        </w:rPr>
      </w:pPr>
      <w:r w:rsidRPr="00E21628">
        <w:rPr>
          <w:rStyle w:val="FootnoteReference"/>
          <w:rFonts w:ascii="Times New Roman" w:hAnsi="Times New Roman" w:cs="Times New Roman"/>
          <w:sz w:val="20"/>
          <w:szCs w:val="20"/>
        </w:rPr>
        <w:footnoteRef/>
      </w:r>
      <w:r w:rsidRPr="00E21628">
        <w:rPr>
          <w:rFonts w:ascii="Times New Roman" w:hAnsi="Times New Roman" w:cs="Times New Roman"/>
          <w:sz w:val="20"/>
          <w:szCs w:val="20"/>
        </w:rPr>
        <w:t xml:space="preserve"> For empirical estimat</w:t>
      </w:r>
      <w:r>
        <w:rPr>
          <w:rFonts w:ascii="Times New Roman" w:hAnsi="Times New Roman" w:cs="Times New Roman"/>
          <w:sz w:val="20"/>
          <w:szCs w:val="20"/>
        </w:rPr>
        <w:t>es</w:t>
      </w:r>
      <w:r w:rsidRPr="00E21628">
        <w:rPr>
          <w:rFonts w:ascii="Times New Roman" w:hAnsi="Times New Roman" w:cs="Times New Roman"/>
          <w:sz w:val="20"/>
          <w:szCs w:val="20"/>
        </w:rPr>
        <w:t xml:space="preserve"> of these wealth effects, see Attanasio et al. (2009), Bostic, Gabriel, and Painter (2009), and Campbell and Cocco (2007).</w:t>
      </w:r>
    </w:p>
  </w:footnote>
  <w:footnote w:id="5">
    <w:p w:rsidR="007D7087" w:rsidRPr="002C3BB3" w:rsidRDefault="007D7087" w:rsidP="00197294">
      <w:pPr>
        <w:pStyle w:val="FootnoteText"/>
      </w:pPr>
      <w:r w:rsidRPr="002C3BB3">
        <w:rPr>
          <w:rStyle w:val="FootnoteReference"/>
        </w:rPr>
        <w:footnoteRef/>
      </w:r>
      <w:r w:rsidRPr="002C3BB3">
        <w:t xml:space="preserve"> There is a large literature on the effects of tax limitations.  For useful general discussions, see Preston and Ichniowski (1991</w:t>
      </w:r>
      <w:r>
        <w:t>),</w:t>
      </w:r>
      <w:r w:rsidRPr="002C3BB3">
        <w:t xml:space="preserve"> O’Sullivan, Sexton, and Sheffrin (1995)</w:t>
      </w:r>
      <w:r>
        <w:t xml:space="preserve">, </w:t>
      </w:r>
      <w:r w:rsidRPr="002C3BB3">
        <w:t>Dye and McGuire (1997</w:t>
      </w:r>
      <w:r>
        <w:t>), and Haveman and Sexton (2008).</w:t>
      </w:r>
      <w:r w:rsidRPr="002C3BB3">
        <w:t xml:space="preserve">  The entire issue of </w:t>
      </w:r>
      <w:r w:rsidRPr="002C3BB3">
        <w:rPr>
          <w:i/>
        </w:rPr>
        <w:t>Public Budgeting &amp; Finance</w:t>
      </w:r>
      <w:r>
        <w:t xml:space="preserve"> (V</w:t>
      </w:r>
      <w:r w:rsidRPr="002C3BB3">
        <w:t>olume</w:t>
      </w:r>
      <w:r>
        <w:t xml:space="preserve"> 24, N</w:t>
      </w:r>
      <w:r w:rsidRPr="002C3BB3">
        <w:t>umber 2,</w:t>
      </w:r>
      <w:r>
        <w:t xml:space="preserve"> December</w:t>
      </w:r>
      <w:r w:rsidRPr="002C3BB3">
        <w:t xml:space="preserve"> 2004</w:t>
      </w:r>
      <w:r>
        <w:t>, “Tax and Expenditure Limitations: A Quarter Century after Proposition 13”</w:t>
      </w:r>
      <w:r w:rsidRPr="002C3BB3">
        <w:t>) is devoted to tax limitations.</w:t>
      </w:r>
    </w:p>
  </w:footnote>
  <w:footnote w:id="6">
    <w:p w:rsidR="007D7087" w:rsidRDefault="007D7087" w:rsidP="00335314">
      <w:pPr>
        <w:pStyle w:val="FootnoteText"/>
      </w:pPr>
      <w:r>
        <w:rPr>
          <w:rStyle w:val="FootnoteReference"/>
        </w:rPr>
        <w:footnoteRef/>
      </w:r>
      <w:r>
        <w:t xml:space="preserve"> Foreclosure data for zip codes that cross county lines are allocated to the particular counties in proportion to the numbers of owner-occupied housing units in the zip code that are located in each county.</w:t>
      </w:r>
    </w:p>
  </w:footnote>
  <w:footnote w:id="7">
    <w:p w:rsidR="007D7087" w:rsidRDefault="007D7087">
      <w:pPr>
        <w:pStyle w:val="FootnoteText"/>
      </w:pPr>
      <w:r>
        <w:rPr>
          <w:rStyle w:val="FootnoteReference"/>
        </w:rPr>
        <w:footnoteRef/>
      </w:r>
      <w:r>
        <w:t xml:space="preserve"> Note that of the 180 Georgia schools systems 159 are county systems, while the rest are city systems.</w:t>
      </w:r>
    </w:p>
  </w:footnote>
  <w:footnote w:id="8">
    <w:p w:rsidR="007D7087" w:rsidRDefault="007D7087">
      <w:pPr>
        <w:pStyle w:val="FootnoteText"/>
      </w:pPr>
      <w:r>
        <w:rPr>
          <w:rStyle w:val="FootnoteReference"/>
        </w:rPr>
        <w:footnoteRef/>
      </w:r>
      <w:r>
        <w:t xml:space="preserve"> See Rubenstein and Sjoquist (2003) for a detailed discussion of the Georgia school finance system.</w:t>
      </w:r>
    </w:p>
  </w:footnote>
  <w:footnote w:id="9">
    <w:p w:rsidR="007D7087" w:rsidRDefault="007D7087">
      <w:pPr>
        <w:pStyle w:val="FootnoteText"/>
      </w:pPr>
      <w:r>
        <w:rPr>
          <w:rStyle w:val="FootnoteReference"/>
        </w:rPr>
        <w:footnoteRef/>
      </w:r>
      <w:r>
        <w:t xml:space="preserve"> Five city school systems operate in two counties each, but digest and levy data are reported separately by county.  Revenues are allocated to the counties in proportion to the levy.</w:t>
      </w:r>
    </w:p>
  </w:footnote>
  <w:footnote w:id="10">
    <w:p w:rsidR="007D7087" w:rsidRPr="00A85C64" w:rsidRDefault="007D7087" w:rsidP="00746B15">
      <w:pPr>
        <w:pStyle w:val="FootnoteText"/>
      </w:pPr>
      <w:r w:rsidRPr="00A85C64">
        <w:rPr>
          <w:rStyle w:val="FootnoteReference"/>
        </w:rPr>
        <w:footnoteRef/>
      </w:r>
      <w:r w:rsidRPr="00A85C64">
        <w:t xml:space="preserve"> If the actual assessment ratio</w:t>
      </w:r>
      <w:r>
        <w:t xml:space="preserve"> is </w:t>
      </w:r>
      <w:r w:rsidRPr="00A31E17">
        <w:t>not between 36 and 44 percent of fair market value, then a penalty of $5 per parcel is imposed</w:t>
      </w:r>
      <w:r>
        <w:t>. If the ratio</w:t>
      </w:r>
      <w:r w:rsidRPr="00A85C64">
        <w:t xml:space="preserve"> is less than 36 percent, the</w:t>
      </w:r>
      <w:r>
        <w:t>n the</w:t>
      </w:r>
      <w:r w:rsidRPr="00A85C64">
        <w:t xml:space="preserve"> county is </w:t>
      </w:r>
      <w:r>
        <w:t xml:space="preserve">also </w:t>
      </w:r>
      <w:r w:rsidRPr="00A85C64">
        <w:t xml:space="preserve">required to pay the difference between the actual property tax revenue </w:t>
      </w:r>
      <w:r>
        <w:t xml:space="preserve">that </w:t>
      </w:r>
      <w:r w:rsidRPr="00A85C64">
        <w:t xml:space="preserve">the state collects from its 0.25 mill property tax rate and </w:t>
      </w:r>
      <w:r>
        <w:t xml:space="preserve">the level that </w:t>
      </w:r>
      <w:r w:rsidRPr="00A85C64">
        <w:t>the state would have collected if the digest had been assessed at 40 percent.</w:t>
      </w:r>
    </w:p>
  </w:footnote>
  <w:footnote w:id="11">
    <w:p w:rsidR="007D7087" w:rsidRDefault="007D7087">
      <w:pPr>
        <w:pStyle w:val="FootnoteText"/>
      </w:pPr>
      <w:r>
        <w:rPr>
          <w:rStyle w:val="FootnoteReference"/>
        </w:rPr>
        <w:footnoteRef/>
      </w:r>
      <w:r>
        <w:t xml:space="preserve"> This cap is currently binding on only 5 school systems. </w:t>
      </w:r>
    </w:p>
  </w:footnote>
  <w:footnote w:id="12">
    <w:p w:rsidR="007D7087" w:rsidRPr="00A85C64" w:rsidRDefault="007D7087" w:rsidP="00746B15">
      <w:pPr>
        <w:pStyle w:val="FootnoteText"/>
      </w:pPr>
      <w:r w:rsidRPr="00A85C64">
        <w:rPr>
          <w:rStyle w:val="FootnoteReference"/>
        </w:rPr>
        <w:footnoteRef/>
      </w:r>
      <w:r w:rsidRPr="00A85C64">
        <w:t xml:space="preserve"> For a </w:t>
      </w:r>
      <w:r>
        <w:t xml:space="preserve">detailed </w:t>
      </w:r>
      <w:r w:rsidRPr="00A85C64">
        <w:t>description of Georgia school funding program, see Rubenstein and Sjoquist (2003).</w:t>
      </w:r>
    </w:p>
  </w:footnote>
  <w:footnote w:id="13">
    <w:p w:rsidR="007D7087" w:rsidRDefault="007D7087">
      <w:pPr>
        <w:pStyle w:val="FootnoteText"/>
      </w:pPr>
      <w:r>
        <w:rPr>
          <w:rStyle w:val="FootnoteReference"/>
        </w:rPr>
        <w:footnoteRef/>
      </w:r>
      <w:r>
        <w:t xml:space="preserve"> There are 10 school systems that are allowed to use a local sales tax to fund current operations.  Most school systems levy a 1 percent sales tax, but the revenue can only be used for capital expenditures. </w:t>
      </w:r>
    </w:p>
  </w:footnote>
  <w:footnote w:id="14">
    <w:p w:rsidR="007D7087" w:rsidRDefault="007D7087">
      <w:pPr>
        <w:pStyle w:val="FootnoteText"/>
      </w:pPr>
      <w:r>
        <w:rPr>
          <w:rStyle w:val="FootnoteReference"/>
        </w:rPr>
        <w:footnoteRef/>
      </w:r>
      <w:r>
        <w:t xml:space="preserve"> For example, an airport might have its own zip code.  However, these zip codes are not likely to be visible on the map.</w:t>
      </w:r>
    </w:p>
  </w:footnote>
  <w:footnote w:id="15">
    <w:p w:rsidR="007D7087" w:rsidRDefault="007D7087" w:rsidP="0078012A">
      <w:pPr>
        <w:pStyle w:val="FootnoteText"/>
      </w:pPr>
      <w:r>
        <w:rPr>
          <w:rStyle w:val="FootnoteReference"/>
        </w:rPr>
        <w:footnoteRef/>
      </w:r>
      <w:r>
        <w:t xml:space="preserve"> Income data are from the Bureau of Economic Analysis (BEA), and population data are U.S. Census Bureau midyear estimates, also obtained from the BEA. See BEA </w:t>
      </w:r>
      <w:r w:rsidRPr="006E36FA">
        <w:t>Local Area Personal Income &amp; Employment</w:t>
      </w:r>
      <w:r>
        <w:t xml:space="preserve"> data, Table CA1-3 (updated Nov. 26, 2012), downloaded from </w:t>
      </w:r>
      <w:hyperlink r:id="rId2" w:history="1">
        <w:r w:rsidRPr="00F75FE9">
          <w:rPr>
            <w:rStyle w:val="Hyperlink"/>
          </w:rPr>
          <w:t>http://www.bea.gov/regional/index.htm</w:t>
        </w:r>
      </w:hyperlink>
      <w:r>
        <w:t>.</w:t>
      </w:r>
    </w:p>
  </w:footnote>
  <w:footnote w:id="16">
    <w:p w:rsidR="007D7087" w:rsidRDefault="007D7087">
      <w:pPr>
        <w:pStyle w:val="FootnoteText"/>
      </w:pPr>
      <w:r>
        <w:rPr>
          <w:rStyle w:val="FootnoteReference"/>
        </w:rPr>
        <w:footnoteRef/>
      </w:r>
      <w:r>
        <w:t xml:space="preserve"> County employment data, also lagged one year, are from the Bureau of Labor Statistics, </w:t>
      </w:r>
      <w:r w:rsidRPr="00A6247A">
        <w:t>Local Area Unemployment Statistics</w:t>
      </w:r>
      <w:r>
        <w:t xml:space="preserve"> program, downloaded from </w:t>
      </w:r>
      <w:hyperlink r:id="rId3" w:anchor="tables" w:history="1">
        <w:r w:rsidRPr="008730DF">
          <w:rPr>
            <w:rStyle w:val="Hyperlink"/>
          </w:rPr>
          <w:t>http://www.bls.gov/lau/#tables</w:t>
        </w:r>
      </w:hyperlink>
      <w:r>
        <w:t>.</w:t>
      </w:r>
    </w:p>
  </w:footnote>
  <w:footnote w:id="17">
    <w:p w:rsidR="007D7087" w:rsidRPr="009F156E" w:rsidRDefault="007D7087">
      <w:pPr>
        <w:pStyle w:val="FootnoteText"/>
      </w:pPr>
      <w:r w:rsidRPr="009F156E">
        <w:rPr>
          <w:rStyle w:val="FootnoteReference"/>
        </w:rPr>
        <w:footnoteRef/>
      </w:r>
      <w:r w:rsidRPr="009F156E">
        <w:t xml:space="preserve"> The increase in median foreclosures by this measure was about 4.5 per thousand</w:t>
      </w:r>
      <w:r>
        <w:t xml:space="preserve"> population.</w:t>
      </w:r>
    </w:p>
  </w:footnote>
  <w:footnote w:id="18">
    <w:p w:rsidR="007D7087" w:rsidRDefault="007D7087">
      <w:pPr>
        <w:pStyle w:val="FootnoteText"/>
      </w:pPr>
      <w:r>
        <w:rPr>
          <w:rStyle w:val="FootnoteReference"/>
        </w:rPr>
        <w:footnoteRef/>
      </w:r>
      <w:r w:rsidRPr="007D7087">
        <w:t xml:space="preserve">  In terms of year-to-year percent changes over the last 14 years of data, the correlation between revenues and the corresponding levies (lagged on</w:t>
      </w:r>
      <w:r w:rsidR="002A068F">
        <w:t>e</w:t>
      </w:r>
      <w:r w:rsidRPr="007D7087">
        <w:t xml:space="preserve"> period) is 0.67.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42B42"/>
    <w:multiLevelType w:val="hybridMultilevel"/>
    <w:tmpl w:val="76040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5D"/>
    <w:rsid w:val="000056E8"/>
    <w:rsid w:val="000145BE"/>
    <w:rsid w:val="00022852"/>
    <w:rsid w:val="00023033"/>
    <w:rsid w:val="0002391A"/>
    <w:rsid w:val="000246C2"/>
    <w:rsid w:val="00036988"/>
    <w:rsid w:val="000433F8"/>
    <w:rsid w:val="00055DA7"/>
    <w:rsid w:val="0006008F"/>
    <w:rsid w:val="000624C9"/>
    <w:rsid w:val="00082EF7"/>
    <w:rsid w:val="00084914"/>
    <w:rsid w:val="00095AD6"/>
    <w:rsid w:val="000A2EF1"/>
    <w:rsid w:val="000B0316"/>
    <w:rsid w:val="000B64DE"/>
    <w:rsid w:val="000B700C"/>
    <w:rsid w:val="000C14AA"/>
    <w:rsid w:val="000E19F6"/>
    <w:rsid w:val="000E7B82"/>
    <w:rsid w:val="000F3C52"/>
    <w:rsid w:val="00100860"/>
    <w:rsid w:val="00107698"/>
    <w:rsid w:val="00110D03"/>
    <w:rsid w:val="00131B26"/>
    <w:rsid w:val="00136A52"/>
    <w:rsid w:val="00146494"/>
    <w:rsid w:val="00197294"/>
    <w:rsid w:val="001B108D"/>
    <w:rsid w:val="001B2BAD"/>
    <w:rsid w:val="001B7E03"/>
    <w:rsid w:val="001C255A"/>
    <w:rsid w:val="001C2E6A"/>
    <w:rsid w:val="001D37F4"/>
    <w:rsid w:val="001D4719"/>
    <w:rsid w:val="00200225"/>
    <w:rsid w:val="0021250B"/>
    <w:rsid w:val="00235FCE"/>
    <w:rsid w:val="0024255D"/>
    <w:rsid w:val="00244C35"/>
    <w:rsid w:val="00265586"/>
    <w:rsid w:val="0026606E"/>
    <w:rsid w:val="00270D95"/>
    <w:rsid w:val="0027217D"/>
    <w:rsid w:val="00287624"/>
    <w:rsid w:val="002A068F"/>
    <w:rsid w:val="002A4CC4"/>
    <w:rsid w:val="002A5060"/>
    <w:rsid w:val="002B2EBC"/>
    <w:rsid w:val="002B4A3B"/>
    <w:rsid w:val="002B5E91"/>
    <w:rsid w:val="002C5E64"/>
    <w:rsid w:val="002F39E5"/>
    <w:rsid w:val="002F53E6"/>
    <w:rsid w:val="00315983"/>
    <w:rsid w:val="00316425"/>
    <w:rsid w:val="00326D60"/>
    <w:rsid w:val="00335314"/>
    <w:rsid w:val="003636E4"/>
    <w:rsid w:val="00364011"/>
    <w:rsid w:val="00365702"/>
    <w:rsid w:val="003770B1"/>
    <w:rsid w:val="003A097C"/>
    <w:rsid w:val="003A4B30"/>
    <w:rsid w:val="003B2785"/>
    <w:rsid w:val="003B6A2C"/>
    <w:rsid w:val="003C2779"/>
    <w:rsid w:val="003D287A"/>
    <w:rsid w:val="003E32F1"/>
    <w:rsid w:val="003E3538"/>
    <w:rsid w:val="003E513D"/>
    <w:rsid w:val="003E5466"/>
    <w:rsid w:val="003F57C3"/>
    <w:rsid w:val="00403083"/>
    <w:rsid w:val="00405E6F"/>
    <w:rsid w:val="0042034A"/>
    <w:rsid w:val="00421BE2"/>
    <w:rsid w:val="00423041"/>
    <w:rsid w:val="00423EA5"/>
    <w:rsid w:val="00425321"/>
    <w:rsid w:val="00425717"/>
    <w:rsid w:val="004367C0"/>
    <w:rsid w:val="004423E0"/>
    <w:rsid w:val="00453369"/>
    <w:rsid w:val="00474AAB"/>
    <w:rsid w:val="004769F4"/>
    <w:rsid w:val="00493032"/>
    <w:rsid w:val="00493B8D"/>
    <w:rsid w:val="00497E15"/>
    <w:rsid w:val="004A60C6"/>
    <w:rsid w:val="004C2DA0"/>
    <w:rsid w:val="004F14C3"/>
    <w:rsid w:val="004F5893"/>
    <w:rsid w:val="004F7306"/>
    <w:rsid w:val="00501986"/>
    <w:rsid w:val="00503992"/>
    <w:rsid w:val="00510D49"/>
    <w:rsid w:val="00513782"/>
    <w:rsid w:val="00516887"/>
    <w:rsid w:val="00522CED"/>
    <w:rsid w:val="00527935"/>
    <w:rsid w:val="00531B65"/>
    <w:rsid w:val="00543816"/>
    <w:rsid w:val="00544F17"/>
    <w:rsid w:val="0055207B"/>
    <w:rsid w:val="0055549B"/>
    <w:rsid w:val="00564E5D"/>
    <w:rsid w:val="00590745"/>
    <w:rsid w:val="005A6B75"/>
    <w:rsid w:val="005B111F"/>
    <w:rsid w:val="005C137D"/>
    <w:rsid w:val="005D5C65"/>
    <w:rsid w:val="005E42A3"/>
    <w:rsid w:val="005E6183"/>
    <w:rsid w:val="005F0397"/>
    <w:rsid w:val="005F59CD"/>
    <w:rsid w:val="005F5C1E"/>
    <w:rsid w:val="006035AC"/>
    <w:rsid w:val="00603B2F"/>
    <w:rsid w:val="00604D62"/>
    <w:rsid w:val="00610DD7"/>
    <w:rsid w:val="0061294F"/>
    <w:rsid w:val="00621101"/>
    <w:rsid w:val="00623712"/>
    <w:rsid w:val="00641E7A"/>
    <w:rsid w:val="006422B0"/>
    <w:rsid w:val="00644B6C"/>
    <w:rsid w:val="00677473"/>
    <w:rsid w:val="006775C9"/>
    <w:rsid w:val="006928FB"/>
    <w:rsid w:val="006A052E"/>
    <w:rsid w:val="006A21DF"/>
    <w:rsid w:val="006B5E53"/>
    <w:rsid w:val="006B5EDB"/>
    <w:rsid w:val="006B693D"/>
    <w:rsid w:val="006C35C9"/>
    <w:rsid w:val="006D1F22"/>
    <w:rsid w:val="006D3591"/>
    <w:rsid w:val="006D7450"/>
    <w:rsid w:val="006D7A59"/>
    <w:rsid w:val="006E1B8D"/>
    <w:rsid w:val="006E36FA"/>
    <w:rsid w:val="0070486A"/>
    <w:rsid w:val="00727A76"/>
    <w:rsid w:val="00735B1A"/>
    <w:rsid w:val="00746638"/>
    <w:rsid w:val="00746B15"/>
    <w:rsid w:val="00747A41"/>
    <w:rsid w:val="007502B9"/>
    <w:rsid w:val="00754D29"/>
    <w:rsid w:val="007609B2"/>
    <w:rsid w:val="00776CA9"/>
    <w:rsid w:val="0078012A"/>
    <w:rsid w:val="00783B8D"/>
    <w:rsid w:val="007846D5"/>
    <w:rsid w:val="007864BC"/>
    <w:rsid w:val="007A17C0"/>
    <w:rsid w:val="007A7F09"/>
    <w:rsid w:val="007C07B4"/>
    <w:rsid w:val="007C19BF"/>
    <w:rsid w:val="007C3862"/>
    <w:rsid w:val="007D455D"/>
    <w:rsid w:val="007D53C1"/>
    <w:rsid w:val="007D7087"/>
    <w:rsid w:val="007E26EE"/>
    <w:rsid w:val="00816B25"/>
    <w:rsid w:val="00840854"/>
    <w:rsid w:val="008465CC"/>
    <w:rsid w:val="00865F57"/>
    <w:rsid w:val="00883324"/>
    <w:rsid w:val="008858A7"/>
    <w:rsid w:val="008929FB"/>
    <w:rsid w:val="00892A1F"/>
    <w:rsid w:val="00894B66"/>
    <w:rsid w:val="008A03D9"/>
    <w:rsid w:val="008A133F"/>
    <w:rsid w:val="008A6179"/>
    <w:rsid w:val="008B2FAC"/>
    <w:rsid w:val="008C3F65"/>
    <w:rsid w:val="008E7F2D"/>
    <w:rsid w:val="008F29E9"/>
    <w:rsid w:val="00902681"/>
    <w:rsid w:val="009272F6"/>
    <w:rsid w:val="00931E5A"/>
    <w:rsid w:val="009355B8"/>
    <w:rsid w:val="009414B8"/>
    <w:rsid w:val="0094272C"/>
    <w:rsid w:val="00955E9F"/>
    <w:rsid w:val="009624B5"/>
    <w:rsid w:val="00974C83"/>
    <w:rsid w:val="0098254B"/>
    <w:rsid w:val="00982FF0"/>
    <w:rsid w:val="009845D3"/>
    <w:rsid w:val="009B45B0"/>
    <w:rsid w:val="009C2BB8"/>
    <w:rsid w:val="009C5117"/>
    <w:rsid w:val="009E2C66"/>
    <w:rsid w:val="009F156E"/>
    <w:rsid w:val="009F31D8"/>
    <w:rsid w:val="009F3A8D"/>
    <w:rsid w:val="009F4637"/>
    <w:rsid w:val="00A03926"/>
    <w:rsid w:val="00A04021"/>
    <w:rsid w:val="00A066C3"/>
    <w:rsid w:val="00A11DFF"/>
    <w:rsid w:val="00A21825"/>
    <w:rsid w:val="00A25CE3"/>
    <w:rsid w:val="00A27DD8"/>
    <w:rsid w:val="00A31E17"/>
    <w:rsid w:val="00A33A7D"/>
    <w:rsid w:val="00A42686"/>
    <w:rsid w:val="00A5713C"/>
    <w:rsid w:val="00A6247A"/>
    <w:rsid w:val="00A65E3D"/>
    <w:rsid w:val="00A72239"/>
    <w:rsid w:val="00A73C86"/>
    <w:rsid w:val="00A758F7"/>
    <w:rsid w:val="00A953D2"/>
    <w:rsid w:val="00A96AE7"/>
    <w:rsid w:val="00AA052A"/>
    <w:rsid w:val="00AB0F39"/>
    <w:rsid w:val="00AD5CD0"/>
    <w:rsid w:val="00AE1A1A"/>
    <w:rsid w:val="00AE61A3"/>
    <w:rsid w:val="00AF0694"/>
    <w:rsid w:val="00B06C75"/>
    <w:rsid w:val="00B0735B"/>
    <w:rsid w:val="00B114F8"/>
    <w:rsid w:val="00B1598A"/>
    <w:rsid w:val="00B20B23"/>
    <w:rsid w:val="00B23B9A"/>
    <w:rsid w:val="00B51004"/>
    <w:rsid w:val="00B52D5D"/>
    <w:rsid w:val="00B56567"/>
    <w:rsid w:val="00B6196F"/>
    <w:rsid w:val="00B655CA"/>
    <w:rsid w:val="00B8579F"/>
    <w:rsid w:val="00B94B23"/>
    <w:rsid w:val="00BA2E4A"/>
    <w:rsid w:val="00BA7482"/>
    <w:rsid w:val="00BD2B29"/>
    <w:rsid w:val="00BD3BF9"/>
    <w:rsid w:val="00BE3A87"/>
    <w:rsid w:val="00BF0FF4"/>
    <w:rsid w:val="00C036CF"/>
    <w:rsid w:val="00C07116"/>
    <w:rsid w:val="00C26610"/>
    <w:rsid w:val="00C278A7"/>
    <w:rsid w:val="00C32DAA"/>
    <w:rsid w:val="00C35BEF"/>
    <w:rsid w:val="00C6704B"/>
    <w:rsid w:val="00C754BD"/>
    <w:rsid w:val="00C755DE"/>
    <w:rsid w:val="00CA64A2"/>
    <w:rsid w:val="00CA71C5"/>
    <w:rsid w:val="00CB0721"/>
    <w:rsid w:val="00CB747C"/>
    <w:rsid w:val="00CD3B01"/>
    <w:rsid w:val="00CD5DAE"/>
    <w:rsid w:val="00CE15FF"/>
    <w:rsid w:val="00CF790F"/>
    <w:rsid w:val="00D00DD3"/>
    <w:rsid w:val="00D01E03"/>
    <w:rsid w:val="00D508D0"/>
    <w:rsid w:val="00D6465D"/>
    <w:rsid w:val="00D6519D"/>
    <w:rsid w:val="00D67E3C"/>
    <w:rsid w:val="00D80EED"/>
    <w:rsid w:val="00D84A2A"/>
    <w:rsid w:val="00D9382C"/>
    <w:rsid w:val="00DA061B"/>
    <w:rsid w:val="00DD1AD6"/>
    <w:rsid w:val="00DE0990"/>
    <w:rsid w:val="00DE6907"/>
    <w:rsid w:val="00DF4E0C"/>
    <w:rsid w:val="00DF7F9E"/>
    <w:rsid w:val="00E0301A"/>
    <w:rsid w:val="00E04A40"/>
    <w:rsid w:val="00E073D7"/>
    <w:rsid w:val="00E10432"/>
    <w:rsid w:val="00E10A02"/>
    <w:rsid w:val="00E2703E"/>
    <w:rsid w:val="00E31AB7"/>
    <w:rsid w:val="00E34808"/>
    <w:rsid w:val="00E3704B"/>
    <w:rsid w:val="00E41F73"/>
    <w:rsid w:val="00E4617B"/>
    <w:rsid w:val="00E55230"/>
    <w:rsid w:val="00E55B68"/>
    <w:rsid w:val="00E63077"/>
    <w:rsid w:val="00E91E80"/>
    <w:rsid w:val="00EB1943"/>
    <w:rsid w:val="00ED19AC"/>
    <w:rsid w:val="00ED5950"/>
    <w:rsid w:val="00F05B2B"/>
    <w:rsid w:val="00F113E7"/>
    <w:rsid w:val="00F1580F"/>
    <w:rsid w:val="00F21940"/>
    <w:rsid w:val="00F324C9"/>
    <w:rsid w:val="00F36FA4"/>
    <w:rsid w:val="00F403B0"/>
    <w:rsid w:val="00F47E9F"/>
    <w:rsid w:val="00F626D1"/>
    <w:rsid w:val="00F64938"/>
    <w:rsid w:val="00F65AF4"/>
    <w:rsid w:val="00F71C58"/>
    <w:rsid w:val="00F77EC6"/>
    <w:rsid w:val="00FA6EE6"/>
    <w:rsid w:val="00FC32F3"/>
    <w:rsid w:val="00FE4ED8"/>
    <w:rsid w:val="00FE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65D"/>
    <w:rPr>
      <w:color w:val="0000FF"/>
      <w:u w:val="single"/>
    </w:rPr>
  </w:style>
  <w:style w:type="paragraph" w:styleId="Title">
    <w:name w:val="Title"/>
    <w:basedOn w:val="Normal"/>
    <w:link w:val="TitleChar"/>
    <w:qFormat/>
    <w:rsid w:val="00AB0F39"/>
    <w:pPr>
      <w:spacing w:after="0" w:line="240" w:lineRule="auto"/>
      <w:jc w:val="center"/>
    </w:pPr>
    <w:rPr>
      <w:rFonts w:ascii="Arial" w:eastAsia="Times New Roman" w:hAnsi="Arial" w:cs="Times New Roman"/>
      <w:szCs w:val="20"/>
      <w:u w:val="single"/>
    </w:rPr>
  </w:style>
  <w:style w:type="character" w:customStyle="1" w:styleId="TitleChar">
    <w:name w:val="Title Char"/>
    <w:basedOn w:val="DefaultParagraphFont"/>
    <w:link w:val="Title"/>
    <w:rsid w:val="00AB0F39"/>
    <w:rPr>
      <w:rFonts w:ascii="Arial" w:eastAsia="Times New Roman" w:hAnsi="Arial" w:cs="Times New Roman"/>
      <w:szCs w:val="20"/>
      <w:u w:val="single"/>
    </w:rPr>
  </w:style>
  <w:style w:type="paragraph" w:styleId="ListParagraph">
    <w:name w:val="List Paragraph"/>
    <w:basedOn w:val="Normal"/>
    <w:uiPriority w:val="99"/>
    <w:qFormat/>
    <w:rsid w:val="00A72239"/>
    <w:pPr>
      <w:spacing w:before="100" w:beforeAutospacing="1" w:after="100" w:afterAutospacing="1" w:line="240" w:lineRule="exac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5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466"/>
  </w:style>
  <w:style w:type="paragraph" w:styleId="Footer">
    <w:name w:val="footer"/>
    <w:basedOn w:val="Normal"/>
    <w:link w:val="FooterChar"/>
    <w:uiPriority w:val="99"/>
    <w:unhideWhenUsed/>
    <w:rsid w:val="003E5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466"/>
  </w:style>
  <w:style w:type="paragraph" w:styleId="FootnoteText">
    <w:name w:val="footnote text"/>
    <w:basedOn w:val="Normal"/>
    <w:link w:val="FootnoteTextChar"/>
    <w:uiPriority w:val="99"/>
    <w:semiHidden/>
    <w:rsid w:val="005168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168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516887"/>
    <w:rPr>
      <w:vertAlign w:val="superscript"/>
    </w:rPr>
  </w:style>
  <w:style w:type="character" w:styleId="Emphasis">
    <w:name w:val="Emphasis"/>
    <w:basedOn w:val="DefaultParagraphFont"/>
    <w:uiPriority w:val="20"/>
    <w:qFormat/>
    <w:rsid w:val="00197294"/>
    <w:rPr>
      <w:i/>
      <w:iCs/>
    </w:rPr>
  </w:style>
  <w:style w:type="paragraph" w:styleId="BalloonText">
    <w:name w:val="Balloon Text"/>
    <w:basedOn w:val="Normal"/>
    <w:link w:val="BalloonTextChar"/>
    <w:uiPriority w:val="99"/>
    <w:semiHidden/>
    <w:unhideWhenUsed/>
    <w:rsid w:val="00326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D60"/>
    <w:rPr>
      <w:rFonts w:ascii="Tahoma" w:hAnsi="Tahoma" w:cs="Tahoma"/>
      <w:sz w:val="16"/>
      <w:szCs w:val="16"/>
    </w:rPr>
  </w:style>
  <w:style w:type="character" w:styleId="CommentReference">
    <w:name w:val="annotation reference"/>
    <w:basedOn w:val="DefaultParagraphFont"/>
    <w:uiPriority w:val="99"/>
    <w:semiHidden/>
    <w:unhideWhenUsed/>
    <w:rsid w:val="00623712"/>
    <w:rPr>
      <w:sz w:val="16"/>
      <w:szCs w:val="16"/>
    </w:rPr>
  </w:style>
  <w:style w:type="paragraph" w:styleId="CommentText">
    <w:name w:val="annotation text"/>
    <w:basedOn w:val="Normal"/>
    <w:link w:val="CommentTextChar"/>
    <w:uiPriority w:val="99"/>
    <w:semiHidden/>
    <w:unhideWhenUsed/>
    <w:rsid w:val="00623712"/>
    <w:pPr>
      <w:spacing w:line="240" w:lineRule="auto"/>
    </w:pPr>
    <w:rPr>
      <w:sz w:val="20"/>
      <w:szCs w:val="20"/>
    </w:rPr>
  </w:style>
  <w:style w:type="character" w:customStyle="1" w:styleId="CommentTextChar">
    <w:name w:val="Comment Text Char"/>
    <w:basedOn w:val="DefaultParagraphFont"/>
    <w:link w:val="CommentText"/>
    <w:uiPriority w:val="99"/>
    <w:semiHidden/>
    <w:rsid w:val="00623712"/>
    <w:rPr>
      <w:sz w:val="20"/>
      <w:szCs w:val="20"/>
    </w:rPr>
  </w:style>
  <w:style w:type="paragraph" w:styleId="CommentSubject">
    <w:name w:val="annotation subject"/>
    <w:basedOn w:val="CommentText"/>
    <w:next w:val="CommentText"/>
    <w:link w:val="CommentSubjectChar"/>
    <w:uiPriority w:val="99"/>
    <w:semiHidden/>
    <w:unhideWhenUsed/>
    <w:rsid w:val="00623712"/>
    <w:rPr>
      <w:b/>
      <w:bCs/>
    </w:rPr>
  </w:style>
  <w:style w:type="character" w:customStyle="1" w:styleId="CommentSubjectChar">
    <w:name w:val="Comment Subject Char"/>
    <w:basedOn w:val="CommentTextChar"/>
    <w:link w:val="CommentSubject"/>
    <w:uiPriority w:val="99"/>
    <w:semiHidden/>
    <w:rsid w:val="00623712"/>
    <w:rPr>
      <w:b/>
      <w:bCs/>
      <w:sz w:val="20"/>
      <w:szCs w:val="20"/>
    </w:rPr>
  </w:style>
  <w:style w:type="table" w:styleId="TableGrid">
    <w:name w:val="Table Grid"/>
    <w:basedOn w:val="TableNormal"/>
    <w:uiPriority w:val="59"/>
    <w:rsid w:val="00527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F53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65D"/>
    <w:rPr>
      <w:color w:val="0000FF"/>
      <w:u w:val="single"/>
    </w:rPr>
  </w:style>
  <w:style w:type="paragraph" w:styleId="Title">
    <w:name w:val="Title"/>
    <w:basedOn w:val="Normal"/>
    <w:link w:val="TitleChar"/>
    <w:qFormat/>
    <w:rsid w:val="00AB0F39"/>
    <w:pPr>
      <w:spacing w:after="0" w:line="240" w:lineRule="auto"/>
      <w:jc w:val="center"/>
    </w:pPr>
    <w:rPr>
      <w:rFonts w:ascii="Arial" w:eastAsia="Times New Roman" w:hAnsi="Arial" w:cs="Times New Roman"/>
      <w:szCs w:val="20"/>
      <w:u w:val="single"/>
    </w:rPr>
  </w:style>
  <w:style w:type="character" w:customStyle="1" w:styleId="TitleChar">
    <w:name w:val="Title Char"/>
    <w:basedOn w:val="DefaultParagraphFont"/>
    <w:link w:val="Title"/>
    <w:rsid w:val="00AB0F39"/>
    <w:rPr>
      <w:rFonts w:ascii="Arial" w:eastAsia="Times New Roman" w:hAnsi="Arial" w:cs="Times New Roman"/>
      <w:szCs w:val="20"/>
      <w:u w:val="single"/>
    </w:rPr>
  </w:style>
  <w:style w:type="paragraph" w:styleId="ListParagraph">
    <w:name w:val="List Paragraph"/>
    <w:basedOn w:val="Normal"/>
    <w:uiPriority w:val="99"/>
    <w:qFormat/>
    <w:rsid w:val="00A72239"/>
    <w:pPr>
      <w:spacing w:before="100" w:beforeAutospacing="1" w:after="100" w:afterAutospacing="1" w:line="240" w:lineRule="exac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5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466"/>
  </w:style>
  <w:style w:type="paragraph" w:styleId="Footer">
    <w:name w:val="footer"/>
    <w:basedOn w:val="Normal"/>
    <w:link w:val="FooterChar"/>
    <w:uiPriority w:val="99"/>
    <w:unhideWhenUsed/>
    <w:rsid w:val="003E5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466"/>
  </w:style>
  <w:style w:type="paragraph" w:styleId="FootnoteText">
    <w:name w:val="footnote text"/>
    <w:basedOn w:val="Normal"/>
    <w:link w:val="FootnoteTextChar"/>
    <w:uiPriority w:val="99"/>
    <w:semiHidden/>
    <w:rsid w:val="005168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168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516887"/>
    <w:rPr>
      <w:vertAlign w:val="superscript"/>
    </w:rPr>
  </w:style>
  <w:style w:type="character" w:styleId="Emphasis">
    <w:name w:val="Emphasis"/>
    <w:basedOn w:val="DefaultParagraphFont"/>
    <w:uiPriority w:val="20"/>
    <w:qFormat/>
    <w:rsid w:val="00197294"/>
    <w:rPr>
      <w:i/>
      <w:iCs/>
    </w:rPr>
  </w:style>
  <w:style w:type="paragraph" w:styleId="BalloonText">
    <w:name w:val="Balloon Text"/>
    <w:basedOn w:val="Normal"/>
    <w:link w:val="BalloonTextChar"/>
    <w:uiPriority w:val="99"/>
    <w:semiHidden/>
    <w:unhideWhenUsed/>
    <w:rsid w:val="00326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D60"/>
    <w:rPr>
      <w:rFonts w:ascii="Tahoma" w:hAnsi="Tahoma" w:cs="Tahoma"/>
      <w:sz w:val="16"/>
      <w:szCs w:val="16"/>
    </w:rPr>
  </w:style>
  <w:style w:type="character" w:styleId="CommentReference">
    <w:name w:val="annotation reference"/>
    <w:basedOn w:val="DefaultParagraphFont"/>
    <w:uiPriority w:val="99"/>
    <w:semiHidden/>
    <w:unhideWhenUsed/>
    <w:rsid w:val="00623712"/>
    <w:rPr>
      <w:sz w:val="16"/>
      <w:szCs w:val="16"/>
    </w:rPr>
  </w:style>
  <w:style w:type="paragraph" w:styleId="CommentText">
    <w:name w:val="annotation text"/>
    <w:basedOn w:val="Normal"/>
    <w:link w:val="CommentTextChar"/>
    <w:uiPriority w:val="99"/>
    <w:semiHidden/>
    <w:unhideWhenUsed/>
    <w:rsid w:val="00623712"/>
    <w:pPr>
      <w:spacing w:line="240" w:lineRule="auto"/>
    </w:pPr>
    <w:rPr>
      <w:sz w:val="20"/>
      <w:szCs w:val="20"/>
    </w:rPr>
  </w:style>
  <w:style w:type="character" w:customStyle="1" w:styleId="CommentTextChar">
    <w:name w:val="Comment Text Char"/>
    <w:basedOn w:val="DefaultParagraphFont"/>
    <w:link w:val="CommentText"/>
    <w:uiPriority w:val="99"/>
    <w:semiHidden/>
    <w:rsid w:val="00623712"/>
    <w:rPr>
      <w:sz w:val="20"/>
      <w:szCs w:val="20"/>
    </w:rPr>
  </w:style>
  <w:style w:type="paragraph" w:styleId="CommentSubject">
    <w:name w:val="annotation subject"/>
    <w:basedOn w:val="CommentText"/>
    <w:next w:val="CommentText"/>
    <w:link w:val="CommentSubjectChar"/>
    <w:uiPriority w:val="99"/>
    <w:semiHidden/>
    <w:unhideWhenUsed/>
    <w:rsid w:val="00623712"/>
    <w:rPr>
      <w:b/>
      <w:bCs/>
    </w:rPr>
  </w:style>
  <w:style w:type="character" w:customStyle="1" w:styleId="CommentSubjectChar">
    <w:name w:val="Comment Subject Char"/>
    <w:basedOn w:val="CommentTextChar"/>
    <w:link w:val="CommentSubject"/>
    <w:uiPriority w:val="99"/>
    <w:semiHidden/>
    <w:rsid w:val="00623712"/>
    <w:rPr>
      <w:b/>
      <w:bCs/>
      <w:sz w:val="20"/>
      <w:szCs w:val="20"/>
    </w:rPr>
  </w:style>
  <w:style w:type="table" w:styleId="TableGrid">
    <w:name w:val="Table Grid"/>
    <w:basedOn w:val="TableNormal"/>
    <w:uiPriority w:val="59"/>
    <w:rsid w:val="00527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F5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366">
      <w:bodyDiv w:val="1"/>
      <w:marLeft w:val="0"/>
      <w:marRight w:val="0"/>
      <w:marTop w:val="0"/>
      <w:marBottom w:val="0"/>
      <w:divBdr>
        <w:top w:val="none" w:sz="0" w:space="0" w:color="auto"/>
        <w:left w:val="none" w:sz="0" w:space="0" w:color="auto"/>
        <w:bottom w:val="none" w:sz="0" w:space="0" w:color="auto"/>
        <w:right w:val="none" w:sz="0" w:space="0" w:color="auto"/>
      </w:divBdr>
    </w:div>
    <w:div w:id="164827597">
      <w:bodyDiv w:val="1"/>
      <w:marLeft w:val="0"/>
      <w:marRight w:val="0"/>
      <w:marTop w:val="0"/>
      <w:marBottom w:val="0"/>
      <w:divBdr>
        <w:top w:val="none" w:sz="0" w:space="0" w:color="auto"/>
        <w:left w:val="none" w:sz="0" w:space="0" w:color="auto"/>
        <w:bottom w:val="none" w:sz="0" w:space="0" w:color="auto"/>
        <w:right w:val="none" w:sz="0" w:space="0" w:color="auto"/>
      </w:divBdr>
    </w:div>
    <w:div w:id="539561371">
      <w:bodyDiv w:val="1"/>
      <w:marLeft w:val="0"/>
      <w:marRight w:val="0"/>
      <w:marTop w:val="0"/>
      <w:marBottom w:val="0"/>
      <w:divBdr>
        <w:top w:val="none" w:sz="0" w:space="0" w:color="auto"/>
        <w:left w:val="none" w:sz="0" w:space="0" w:color="auto"/>
        <w:bottom w:val="none" w:sz="0" w:space="0" w:color="auto"/>
        <w:right w:val="none" w:sz="0" w:space="0" w:color="auto"/>
      </w:divBdr>
      <w:divsChild>
        <w:div w:id="1638951184">
          <w:marLeft w:val="0"/>
          <w:marRight w:val="0"/>
          <w:marTop w:val="0"/>
          <w:marBottom w:val="0"/>
          <w:divBdr>
            <w:top w:val="none" w:sz="0" w:space="0" w:color="auto"/>
            <w:left w:val="none" w:sz="0" w:space="0" w:color="auto"/>
            <w:bottom w:val="none" w:sz="0" w:space="0" w:color="auto"/>
            <w:right w:val="none" w:sz="0" w:space="0" w:color="auto"/>
          </w:divBdr>
        </w:div>
      </w:divsChild>
    </w:div>
    <w:div w:id="1486894296">
      <w:bodyDiv w:val="1"/>
      <w:marLeft w:val="0"/>
      <w:marRight w:val="0"/>
      <w:marTop w:val="0"/>
      <w:marBottom w:val="0"/>
      <w:divBdr>
        <w:top w:val="none" w:sz="0" w:space="0" w:color="auto"/>
        <w:left w:val="none" w:sz="0" w:space="0" w:color="auto"/>
        <w:bottom w:val="none" w:sz="0" w:space="0" w:color="auto"/>
        <w:right w:val="none" w:sz="0" w:space="0" w:color="auto"/>
      </w:divBdr>
      <w:divsChild>
        <w:div w:id="1723139939">
          <w:marLeft w:val="0"/>
          <w:marRight w:val="0"/>
          <w:marTop w:val="0"/>
          <w:marBottom w:val="0"/>
          <w:divBdr>
            <w:top w:val="none" w:sz="0" w:space="0" w:color="auto"/>
            <w:left w:val="none" w:sz="0" w:space="0" w:color="auto"/>
            <w:bottom w:val="none" w:sz="0" w:space="0" w:color="auto"/>
            <w:right w:val="none" w:sz="0" w:space="0" w:color="auto"/>
          </w:divBdr>
        </w:div>
      </w:divsChild>
    </w:div>
    <w:div w:id="1588731167">
      <w:bodyDiv w:val="1"/>
      <w:marLeft w:val="0"/>
      <w:marRight w:val="0"/>
      <w:marTop w:val="0"/>
      <w:marBottom w:val="0"/>
      <w:divBdr>
        <w:top w:val="none" w:sz="0" w:space="0" w:color="auto"/>
        <w:left w:val="none" w:sz="0" w:space="0" w:color="auto"/>
        <w:bottom w:val="none" w:sz="0" w:space="0" w:color="auto"/>
        <w:right w:val="none" w:sz="0" w:space="0" w:color="auto"/>
      </w:divBdr>
    </w:div>
    <w:div w:id="2045052560">
      <w:bodyDiv w:val="1"/>
      <w:marLeft w:val="0"/>
      <w:marRight w:val="0"/>
      <w:marTop w:val="0"/>
      <w:marBottom w:val="0"/>
      <w:divBdr>
        <w:top w:val="none" w:sz="0" w:space="0" w:color="auto"/>
        <w:left w:val="none" w:sz="0" w:space="0" w:color="auto"/>
        <w:bottom w:val="none" w:sz="0" w:space="0" w:color="auto"/>
        <w:right w:val="none" w:sz="0" w:space="0" w:color="auto"/>
      </w:divBdr>
    </w:div>
    <w:div w:id="2113358298">
      <w:bodyDiv w:val="1"/>
      <w:marLeft w:val="0"/>
      <w:marRight w:val="0"/>
      <w:marTop w:val="0"/>
      <w:marBottom w:val="0"/>
      <w:divBdr>
        <w:top w:val="none" w:sz="0" w:space="0" w:color="auto"/>
        <w:left w:val="none" w:sz="0" w:space="0" w:color="auto"/>
        <w:bottom w:val="none" w:sz="0" w:space="0" w:color="auto"/>
        <w:right w:val="none" w:sz="0" w:space="0" w:color="auto"/>
      </w:divBdr>
      <w:divsChild>
        <w:div w:id="1722633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eas.repec.org/s/eee/pubeco.html" TargetMode="External"/><Relationship Id="rId18" Type="http://schemas.openxmlformats.org/officeDocument/2006/relationships/image" Target="media/image4.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ideas.repec.org/a/eee/pubeco/v66y1997i3p469-487.html" TargetMode="External"/><Relationship Id="rId17" Type="http://schemas.openxmlformats.org/officeDocument/2006/relationships/image" Target="media/image3.emf"/><Relationship Id="rId25"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2.xml"/><Relationship Id="rId29"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oquist@gsu.edu" TargetMode="External"/><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1.xml"/><Relationship Id="rId28" Type="http://schemas.openxmlformats.org/officeDocument/2006/relationships/image" Target="media/image10.emf"/><Relationship Id="rId10" Type="http://schemas.openxmlformats.org/officeDocument/2006/relationships/hyperlink" Target="mailto:rbuschman1@gsu.edu" TargetMode="External"/><Relationship Id="rId19" Type="http://schemas.openxmlformats.org/officeDocument/2006/relationships/image" Target="media/image5.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alm@tulane.edu" TargetMode="External"/><Relationship Id="rId14" Type="http://schemas.openxmlformats.org/officeDocument/2006/relationships/image" Target="media/image1.emf"/><Relationship Id="rId22" Type="http://schemas.openxmlformats.org/officeDocument/2006/relationships/image" Target="media/image7.jpeg"/><Relationship Id="rId27" Type="http://schemas.openxmlformats.org/officeDocument/2006/relationships/package" Target="embeddings/Microsoft_Excel_Worksheet2.xlsx"/><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lau/" TargetMode="External"/><Relationship Id="rId2" Type="http://schemas.openxmlformats.org/officeDocument/2006/relationships/hyperlink" Target="http://www.bea.gov/regional/index.htm" TargetMode="External"/><Relationship Id="rId1" Type="http://schemas.openxmlformats.org/officeDocument/2006/relationships/hyperlink" Target="http://www.census.gov/govs/estimat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ETSERV5\USR\PRC\PRCDLS\RESEARCH\Georgia%20Schools%20Property%20Tax%20Report-Presentation\Basic%20Data%20and%20Table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NETSERV5\USR\ECO\ECORDBX\AYSPS-FRC\NTA%202012\NTA%202012%20Regression%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M&amp;O Revenue Per FTE </a:t>
            </a:r>
          </a:p>
          <a:p>
            <a:pPr>
              <a:defRPr/>
            </a:pPr>
            <a:r>
              <a:rPr lang="en-US"/>
              <a:t>(Inflation Adjusted)</a:t>
            </a:r>
          </a:p>
        </c:rich>
      </c:tx>
      <c:overlay val="1"/>
    </c:title>
    <c:autoTitleDeleted val="0"/>
    <c:plotArea>
      <c:layout>
        <c:manualLayout>
          <c:layoutTarget val="inner"/>
          <c:xMode val="edge"/>
          <c:yMode val="edge"/>
          <c:x val="0.12116907261592301"/>
          <c:y val="0.25973450307419227"/>
          <c:w val="0.84827537182852142"/>
          <c:h val="0.44608061068903399"/>
        </c:manualLayout>
      </c:layout>
      <c:lineChart>
        <c:grouping val="standard"/>
        <c:varyColors val="0"/>
        <c:ser>
          <c:idx val="0"/>
          <c:order val="0"/>
          <c:tx>
            <c:strRef>
              <c:f>'Table 1'!$B$18</c:f>
              <c:strCache>
                <c:ptCount val="1"/>
                <c:pt idx="0">
                  <c:v>Local Revenue Per FTE</c:v>
                </c:pt>
              </c:strCache>
            </c:strRef>
          </c:tx>
          <c:spPr>
            <a:ln>
              <a:solidFill>
                <a:srgbClr val="0000FF"/>
              </a:solidFill>
            </a:ln>
          </c:spPr>
          <c:marker>
            <c:spPr>
              <a:solidFill>
                <a:srgbClr val="0000FF"/>
              </a:solidFill>
            </c:spPr>
          </c:marker>
          <c:cat>
            <c:numRef>
              <c:f>'Table 1'!$A$19:$A$29</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'Table 1'!$B$19:$B$29</c:f>
              <c:numCache>
                <c:formatCode>0.00</c:formatCode>
                <c:ptCount val="11"/>
                <c:pt idx="0">
                  <c:v>3774.6904415823365</c:v>
                </c:pt>
                <c:pt idx="1">
                  <c:v>3921.6516781901078</c:v>
                </c:pt>
                <c:pt idx="2">
                  <c:v>3969.3966877002872</c:v>
                </c:pt>
                <c:pt idx="3">
                  <c:v>4011.5078799698967</c:v>
                </c:pt>
                <c:pt idx="4">
                  <c:v>3906.3592854000003</c:v>
                </c:pt>
                <c:pt idx="5">
                  <c:v>3921.5192886993445</c:v>
                </c:pt>
                <c:pt idx="6">
                  <c:v>4029.3110899572494</c:v>
                </c:pt>
                <c:pt idx="7">
                  <c:v>3987.596039402812</c:v>
                </c:pt>
                <c:pt idx="8">
                  <c:v>4148.0895204856633</c:v>
                </c:pt>
                <c:pt idx="9">
                  <c:v>3966.6203005393222</c:v>
                </c:pt>
                <c:pt idx="10">
                  <c:v>3685.74</c:v>
                </c:pt>
              </c:numCache>
            </c:numRef>
          </c:val>
          <c:smooth val="0"/>
        </c:ser>
        <c:ser>
          <c:idx val="1"/>
          <c:order val="1"/>
          <c:tx>
            <c:strRef>
              <c:f>'Table 1'!$C$18</c:f>
              <c:strCache>
                <c:ptCount val="1"/>
                <c:pt idx="0">
                  <c:v>Property Tax Per FTE</c:v>
                </c:pt>
              </c:strCache>
            </c:strRef>
          </c:tx>
          <c:val>
            <c:numRef>
              <c:f>'Table 1'!$C$19:$C$29</c:f>
              <c:numCache>
                <c:formatCode>0.00</c:formatCode>
                <c:ptCount val="11"/>
                <c:pt idx="0">
                  <c:v>3440.0812068896043</c:v>
                </c:pt>
                <c:pt idx="1">
                  <c:v>3611.6932519979687</c:v>
                </c:pt>
                <c:pt idx="2">
                  <c:v>3723.7785007902471</c:v>
                </c:pt>
                <c:pt idx="3">
                  <c:v>3756.7154730816278</c:v>
                </c:pt>
                <c:pt idx="4">
                  <c:v>3644.9216806454406</c:v>
                </c:pt>
                <c:pt idx="5">
                  <c:v>3637.2190866449118</c:v>
                </c:pt>
                <c:pt idx="6">
                  <c:v>3720.0452316153901</c:v>
                </c:pt>
                <c:pt idx="7">
                  <c:v>3679.1980148217226</c:v>
                </c:pt>
                <c:pt idx="8">
                  <c:v>3881.3288874286359</c:v>
                </c:pt>
                <c:pt idx="9">
                  <c:v>3734.1361815951473</c:v>
                </c:pt>
                <c:pt idx="10">
                  <c:v>3459.0144426286047</c:v>
                </c:pt>
              </c:numCache>
            </c:numRef>
          </c:val>
          <c:smooth val="0"/>
        </c:ser>
        <c:dLbls>
          <c:showLegendKey val="0"/>
          <c:showVal val="0"/>
          <c:showCatName val="0"/>
          <c:showSerName val="0"/>
          <c:showPercent val="0"/>
          <c:showBubbleSize val="0"/>
        </c:dLbls>
        <c:marker val="1"/>
        <c:smooth val="0"/>
        <c:axId val="34206080"/>
        <c:axId val="35520512"/>
      </c:lineChart>
      <c:catAx>
        <c:axId val="34206080"/>
        <c:scaling>
          <c:orientation val="minMax"/>
        </c:scaling>
        <c:delete val="0"/>
        <c:axPos val="b"/>
        <c:title>
          <c:tx>
            <c:rich>
              <a:bodyPr/>
              <a:lstStyle/>
              <a:p>
                <a:pPr>
                  <a:defRPr/>
                </a:pPr>
                <a:r>
                  <a:rPr lang="en-US" b="0"/>
                  <a:t>Fiscal Year</a:t>
                </a:r>
              </a:p>
            </c:rich>
          </c:tx>
          <c:overlay val="0"/>
        </c:title>
        <c:numFmt formatCode="General" sourceLinked="1"/>
        <c:majorTickMark val="out"/>
        <c:minorTickMark val="none"/>
        <c:tickLblPos val="nextTo"/>
        <c:crossAx val="35520512"/>
        <c:crossesAt val="0"/>
        <c:auto val="1"/>
        <c:lblAlgn val="ctr"/>
        <c:lblOffset val="100"/>
        <c:noMultiLvlLbl val="0"/>
      </c:catAx>
      <c:valAx>
        <c:axId val="35520512"/>
        <c:scaling>
          <c:orientation val="minMax"/>
          <c:min val="3000"/>
        </c:scaling>
        <c:delete val="0"/>
        <c:axPos val="l"/>
        <c:majorGridlines/>
        <c:numFmt formatCode="&quot;$&quot;#,##0" sourceLinked="0"/>
        <c:majorTickMark val="out"/>
        <c:minorTickMark val="none"/>
        <c:tickLblPos val="nextTo"/>
        <c:crossAx val="34206080"/>
        <c:crosses val="autoZero"/>
        <c:crossBetween val="between"/>
      </c:valAx>
    </c:plotArea>
    <c:legend>
      <c:legendPos val="b"/>
      <c:overlay val="0"/>
    </c:legend>
    <c:plotVisOnly val="1"/>
    <c:dispBlanksAs val="gap"/>
    <c:showDLblsOverMax val="0"/>
  </c:chart>
  <c:txPr>
    <a:bodyPr/>
    <a:lstStyle/>
    <a:p>
      <a:pPr>
        <a:defRPr sz="1200">
          <a:solidFill>
            <a:srgbClr val="0000FF"/>
          </a:solidFill>
          <a:latin typeface="Tahoma" pitchFamily="34" charset="0"/>
          <a:ea typeface="Tahoma" pitchFamily="34" charset="0"/>
          <a:cs typeface="Tahoma"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69344421834912"/>
          <c:y val="3.5120650176136282E-2"/>
          <c:w val="0.85228700345041142"/>
          <c:h val="0.84702508649894181"/>
        </c:manualLayout>
      </c:layout>
      <c:scatterChart>
        <c:scatterStyle val="lineMarker"/>
        <c:varyColors val="0"/>
        <c:ser>
          <c:idx val="0"/>
          <c:order val="0"/>
          <c:spPr>
            <a:ln w="28575">
              <a:noFill/>
            </a:ln>
          </c:spPr>
          <c:marker>
            <c:symbol val="circle"/>
            <c:size val="5"/>
          </c:marker>
          <c:xVal>
            <c:numRef>
              <c:f>Sheet3!$B$3:$B$161</c:f>
              <c:numCache>
                <c:formatCode>General</c:formatCode>
                <c:ptCount val="159"/>
                <c:pt idx="0">
                  <c:v>8.8750800000000005E-2</c:v>
                </c:pt>
                <c:pt idx="1">
                  <c:v>0.1011219</c:v>
                </c:pt>
                <c:pt idx="2">
                  <c:v>2.6231000000000001E-2</c:v>
                </c:pt>
                <c:pt idx="3">
                  <c:v>1.04837E-2</c:v>
                </c:pt>
                <c:pt idx="4">
                  <c:v>0.18484039999999999</c:v>
                </c:pt>
                <c:pt idx="5">
                  <c:v>0.77785040000000005</c:v>
                </c:pt>
                <c:pt idx="6">
                  <c:v>1.9923090000000001</c:v>
                </c:pt>
                <c:pt idx="7">
                  <c:v>0.46752320000000003</c:v>
                </c:pt>
                <c:pt idx="8">
                  <c:v>0.63293580000000005</c:v>
                </c:pt>
                <c:pt idx="9">
                  <c:v>0.15318080000000001</c:v>
                </c:pt>
                <c:pt idx="10">
                  <c:v>1.7687079999999999</c:v>
                </c:pt>
                <c:pt idx="11">
                  <c:v>4.53543E-2</c:v>
                </c:pt>
                <c:pt idx="12">
                  <c:v>4.9300499999999997E-2</c:v>
                </c:pt>
                <c:pt idx="13">
                  <c:v>4.02712E-2</c:v>
                </c:pt>
                <c:pt idx="14">
                  <c:v>4.03332E-2</c:v>
                </c:pt>
                <c:pt idx="15">
                  <c:v>0.10706540000000001</c:v>
                </c:pt>
                <c:pt idx="16">
                  <c:v>0.67029309999999998</c:v>
                </c:pt>
                <c:pt idx="17">
                  <c:v>0.33382580000000001</c:v>
                </c:pt>
                <c:pt idx="18">
                  <c:v>6.5585400000000002E-2</c:v>
                </c:pt>
                <c:pt idx="19">
                  <c:v>0.20334269999999999</c:v>
                </c:pt>
                <c:pt idx="20">
                  <c:v>0.1031755</c:v>
                </c:pt>
                <c:pt idx="21">
                  <c:v>1.7124550000000001</c:v>
                </c:pt>
                <c:pt idx="22">
                  <c:v>0.67754720000000002</c:v>
                </c:pt>
                <c:pt idx="23">
                  <c:v>0.14715410000000001</c:v>
                </c:pt>
                <c:pt idx="24">
                  <c:v>1.0651889999999999</c:v>
                </c:pt>
                <c:pt idx="25">
                  <c:v>5.81775E-2</c:v>
                </c:pt>
                <c:pt idx="26">
                  <c:v>0.33119270000000001</c:v>
                </c:pt>
                <c:pt idx="27">
                  <c:v>1.67476</c:v>
                </c:pt>
                <c:pt idx="28">
                  <c:v>0.36332110000000001</c:v>
                </c:pt>
                <c:pt idx="29">
                  <c:v>2.7366999999999999E-3</c:v>
                </c:pt>
                <c:pt idx="30">
                  <c:v>4.3411499999999998</c:v>
                </c:pt>
                <c:pt idx="31">
                  <c:v>6.8767300000000003E-2</c:v>
                </c:pt>
                <c:pt idx="32">
                  <c:v>1.6955180000000001</c:v>
                </c:pt>
                <c:pt idx="33">
                  <c:v>0.14048769999999999</c:v>
                </c:pt>
                <c:pt idx="34">
                  <c:v>0.1783991</c:v>
                </c:pt>
                <c:pt idx="35">
                  <c:v>0.97004290000000004</c:v>
                </c:pt>
                <c:pt idx="36">
                  <c:v>5.5984800000000001E-2</c:v>
                </c:pt>
                <c:pt idx="37">
                  <c:v>2.0013429999999999</c:v>
                </c:pt>
                <c:pt idx="38">
                  <c:v>0.27917920000000002</c:v>
                </c:pt>
                <c:pt idx="39">
                  <c:v>0.14045650000000001</c:v>
                </c:pt>
                <c:pt idx="40">
                  <c:v>0.20765169999999999</c:v>
                </c:pt>
                <c:pt idx="41">
                  <c:v>0.39194879999999999</c:v>
                </c:pt>
                <c:pt idx="42">
                  <c:v>0.18064169999999999</c:v>
                </c:pt>
                <c:pt idx="43">
                  <c:v>2.819963</c:v>
                </c:pt>
                <c:pt idx="44">
                  <c:v>0.120695</c:v>
                </c:pt>
                <c:pt idx="45">
                  <c:v>2.2257200000000001E-2</c:v>
                </c:pt>
                <c:pt idx="46">
                  <c:v>0.12035949999999999</c:v>
                </c:pt>
                <c:pt idx="47">
                  <c:v>2.9002750000000002</c:v>
                </c:pt>
                <c:pt idx="48">
                  <c:v>9.4824900000000004E-2</c:v>
                </c:pt>
                <c:pt idx="49">
                  <c:v>1.6084399999999999E-2</c:v>
                </c:pt>
                <c:pt idx="50">
                  <c:v>0.22790940000000001</c:v>
                </c:pt>
                <c:pt idx="51">
                  <c:v>0.28018959999999998</c:v>
                </c:pt>
                <c:pt idx="52">
                  <c:v>0.14271610000000001</c:v>
                </c:pt>
                <c:pt idx="53">
                  <c:v>4.1878199999999997E-2</c:v>
                </c:pt>
                <c:pt idx="54">
                  <c:v>0.11260589999999999</c:v>
                </c:pt>
                <c:pt idx="55">
                  <c:v>1.893829</c:v>
                </c:pt>
                <c:pt idx="56">
                  <c:v>0.61231270000000004</c:v>
                </c:pt>
                <c:pt idx="57">
                  <c:v>1.3304039999999999</c:v>
                </c:pt>
                <c:pt idx="58">
                  <c:v>0.19736139999999999</c:v>
                </c:pt>
                <c:pt idx="59">
                  <c:v>2.6883400000000002</c:v>
                </c:pt>
                <c:pt idx="60">
                  <c:v>0.19240740000000001</c:v>
                </c:pt>
                <c:pt idx="61">
                  <c:v>1.2604000000000001E-3</c:v>
                </c:pt>
                <c:pt idx="62">
                  <c:v>0.13742180000000001</c:v>
                </c:pt>
                <c:pt idx="63">
                  <c:v>0.46305499999999999</c:v>
                </c:pt>
                <c:pt idx="64">
                  <c:v>0.1008918</c:v>
                </c:pt>
                <c:pt idx="65">
                  <c:v>4.2447499999999999E-2</c:v>
                </c:pt>
                <c:pt idx="66">
                  <c:v>2.3530709999999999</c:v>
                </c:pt>
                <c:pt idx="67">
                  <c:v>0.78262520000000002</c:v>
                </c:pt>
                <c:pt idx="68">
                  <c:v>1.4277359999999999</c:v>
                </c:pt>
                <c:pt idx="69">
                  <c:v>2.3942399999999999E-2</c:v>
                </c:pt>
                <c:pt idx="70">
                  <c:v>0.4172189</c:v>
                </c:pt>
                <c:pt idx="71">
                  <c:v>0.1014092</c:v>
                </c:pt>
                <c:pt idx="72">
                  <c:v>0.29664980000000002</c:v>
                </c:pt>
                <c:pt idx="73">
                  <c:v>0.40470250000000002</c:v>
                </c:pt>
                <c:pt idx="74">
                  <c:v>3.5478019999999999</c:v>
                </c:pt>
                <c:pt idx="75">
                  <c:v>1.1389100000000001</c:v>
                </c:pt>
                <c:pt idx="76">
                  <c:v>0.30339559999999999</c:v>
                </c:pt>
                <c:pt idx="77">
                  <c:v>0.79022999999999999</c:v>
                </c:pt>
                <c:pt idx="78">
                  <c:v>0.34387089999999998</c:v>
                </c:pt>
                <c:pt idx="79">
                  <c:v>0.13771849999999999</c:v>
                </c:pt>
                <c:pt idx="80">
                  <c:v>7.8491000000000005E-2</c:v>
                </c:pt>
                <c:pt idx="81">
                  <c:v>7.4206499999999995E-2</c:v>
                </c:pt>
                <c:pt idx="82">
                  <c:v>2.62697E-2</c:v>
                </c:pt>
                <c:pt idx="83">
                  <c:v>1.3087</c:v>
                </c:pt>
                <c:pt idx="84">
                  <c:v>0.29812040000000001</c:v>
                </c:pt>
                <c:pt idx="85">
                  <c:v>5.0041799999999997E-2</c:v>
                </c:pt>
                <c:pt idx="86">
                  <c:v>0.108198</c:v>
                </c:pt>
                <c:pt idx="87">
                  <c:v>0.22811000000000001</c:v>
                </c:pt>
                <c:pt idx="88">
                  <c:v>0.22417029999999999</c:v>
                </c:pt>
                <c:pt idx="89">
                  <c:v>0.1093433</c:v>
                </c:pt>
                <c:pt idx="90">
                  <c:v>0.20252329999999999</c:v>
                </c:pt>
                <c:pt idx="91">
                  <c:v>5.2710899999999998E-2</c:v>
                </c:pt>
                <c:pt idx="92">
                  <c:v>0.34850419999999999</c:v>
                </c:pt>
                <c:pt idx="93">
                  <c:v>7.6450400000000002E-2</c:v>
                </c:pt>
                <c:pt idx="94">
                  <c:v>0.2943693</c:v>
                </c:pt>
                <c:pt idx="95">
                  <c:v>0.2241821</c:v>
                </c:pt>
                <c:pt idx="96">
                  <c:v>7.80782E-2</c:v>
                </c:pt>
                <c:pt idx="97">
                  <c:v>3.1392200000000002E-2</c:v>
                </c:pt>
                <c:pt idx="98">
                  <c:v>0.2401025</c:v>
                </c:pt>
                <c:pt idx="99">
                  <c:v>3.4916700000000002E-2</c:v>
                </c:pt>
                <c:pt idx="100">
                  <c:v>7.3928900000000006E-2</c:v>
                </c:pt>
                <c:pt idx="101">
                  <c:v>0.39707579999999998</c:v>
                </c:pt>
                <c:pt idx="102">
                  <c:v>7.3863399999999996E-2</c:v>
                </c:pt>
                <c:pt idx="103">
                  <c:v>0.17194870000000001</c:v>
                </c:pt>
                <c:pt idx="104">
                  <c:v>0.17296329999999999</c:v>
                </c:pt>
                <c:pt idx="105">
                  <c:v>0.49209249999999999</c:v>
                </c:pt>
                <c:pt idx="106">
                  <c:v>0.5649267</c:v>
                </c:pt>
                <c:pt idx="107">
                  <c:v>0.23573659999999999</c:v>
                </c:pt>
                <c:pt idx="108">
                  <c:v>0.29218899999999998</c:v>
                </c:pt>
                <c:pt idx="109">
                  <c:v>3.8566859999999998</c:v>
                </c:pt>
                <c:pt idx="110">
                  <c:v>0.17680180000000001</c:v>
                </c:pt>
                <c:pt idx="111">
                  <c:v>0.50435750000000001</c:v>
                </c:pt>
                <c:pt idx="112">
                  <c:v>4.19712E-2</c:v>
                </c:pt>
                <c:pt idx="113">
                  <c:v>0.77858269999999996</c:v>
                </c:pt>
                <c:pt idx="114">
                  <c:v>0.79381040000000003</c:v>
                </c:pt>
                <c:pt idx="115">
                  <c:v>0.16633590000000001</c:v>
                </c:pt>
                <c:pt idx="116">
                  <c:v>0.1693211</c:v>
                </c:pt>
                <c:pt idx="117">
                  <c:v>0</c:v>
                </c:pt>
                <c:pt idx="118">
                  <c:v>0.2390737</c:v>
                </c:pt>
                <c:pt idx="119">
                  <c:v>0</c:v>
                </c:pt>
                <c:pt idx="120">
                  <c:v>1.6060160000000001</c:v>
                </c:pt>
                <c:pt idx="121">
                  <c:v>3.4875470000000002</c:v>
                </c:pt>
                <c:pt idx="122">
                  <c:v>0.24367349999999999</c:v>
                </c:pt>
                <c:pt idx="123">
                  <c:v>9.4084399999999999E-2</c:v>
                </c:pt>
                <c:pt idx="124">
                  <c:v>1.4589E-3</c:v>
                </c:pt>
                <c:pt idx="125">
                  <c:v>1.154973</c:v>
                </c:pt>
                <c:pt idx="126">
                  <c:v>0.23833029999999999</c:v>
                </c:pt>
                <c:pt idx="127">
                  <c:v>2.0972E-3</c:v>
                </c:pt>
                <c:pt idx="128">
                  <c:v>0.2401887</c:v>
                </c:pt>
                <c:pt idx="129">
                  <c:v>0.1229321</c:v>
                </c:pt>
                <c:pt idx="130">
                  <c:v>2.3408999999999999E-3</c:v>
                </c:pt>
                <c:pt idx="131">
                  <c:v>0.15737670000000001</c:v>
                </c:pt>
                <c:pt idx="132">
                  <c:v>8.9291700000000002E-2</c:v>
                </c:pt>
                <c:pt idx="133">
                  <c:v>3.1634099999999998E-2</c:v>
                </c:pt>
                <c:pt idx="134">
                  <c:v>2.4218E-2</c:v>
                </c:pt>
                <c:pt idx="135">
                  <c:v>7.7660199999999999E-2</c:v>
                </c:pt>
                <c:pt idx="136">
                  <c:v>0.1047278</c:v>
                </c:pt>
                <c:pt idx="137">
                  <c:v>0.13883280000000001</c:v>
                </c:pt>
                <c:pt idx="138">
                  <c:v>8.2067699999999993E-2</c:v>
                </c:pt>
                <c:pt idx="139">
                  <c:v>1.3150999999999999E-2</c:v>
                </c:pt>
                <c:pt idx="140">
                  <c:v>3.4995800000000001E-2</c:v>
                </c:pt>
                <c:pt idx="141">
                  <c:v>0.2264051</c:v>
                </c:pt>
                <c:pt idx="142">
                  <c:v>4.91551E-2</c:v>
                </c:pt>
                <c:pt idx="143">
                  <c:v>0.68393360000000003</c:v>
                </c:pt>
                <c:pt idx="144">
                  <c:v>1.24309E-2</c:v>
                </c:pt>
                <c:pt idx="145">
                  <c:v>0.6547058</c:v>
                </c:pt>
                <c:pt idx="146">
                  <c:v>0.58912220000000004</c:v>
                </c:pt>
                <c:pt idx="147">
                  <c:v>0.1506586</c:v>
                </c:pt>
                <c:pt idx="148">
                  <c:v>7.1823300000000007E-2</c:v>
                </c:pt>
                <c:pt idx="149">
                  <c:v>2.3725699999999999E-2</c:v>
                </c:pt>
                <c:pt idx="150">
                  <c:v>0.1443615</c:v>
                </c:pt>
                <c:pt idx="151">
                  <c:v>2.1751000000000001E-3</c:v>
                </c:pt>
                <c:pt idx="152">
                  <c:v>8.3902999999999998E-3</c:v>
                </c:pt>
                <c:pt idx="153">
                  <c:v>0.2113748</c:v>
                </c:pt>
                <c:pt idx="154">
                  <c:v>0.62160020000000005</c:v>
                </c:pt>
                <c:pt idx="155">
                  <c:v>3.0313199999999998E-2</c:v>
                </c:pt>
                <c:pt idx="156">
                  <c:v>0.20878659999999999</c:v>
                </c:pt>
                <c:pt idx="157">
                  <c:v>5.2387999999999997E-2</c:v>
                </c:pt>
                <c:pt idx="158">
                  <c:v>0.14632970000000001</c:v>
                </c:pt>
              </c:numCache>
            </c:numRef>
          </c:xVal>
          <c:yVal>
            <c:numRef>
              <c:f>Sheet3!$C$3:$C$161</c:f>
              <c:numCache>
                <c:formatCode>General</c:formatCode>
                <c:ptCount val="159"/>
                <c:pt idx="0">
                  <c:v>0.54705539999999997</c:v>
                </c:pt>
                <c:pt idx="1">
                  <c:v>0.39950279999999999</c:v>
                </c:pt>
                <c:pt idx="2">
                  <c:v>0.51011589999999996</c:v>
                </c:pt>
                <c:pt idx="3">
                  <c:v>8.2263100000000006E-2</c:v>
                </c:pt>
                <c:pt idx="4">
                  <c:v>1.36277</c:v>
                </c:pt>
                <c:pt idx="5">
                  <c:v>2.844141</c:v>
                </c:pt>
                <c:pt idx="6">
                  <c:v>4.7162300000000004</c:v>
                </c:pt>
                <c:pt idx="7">
                  <c:v>3.5081280000000001</c:v>
                </c:pt>
                <c:pt idx="8">
                  <c:v>0.86704579999999998</c:v>
                </c:pt>
                <c:pt idx="9">
                  <c:v>0.77864060000000002</c:v>
                </c:pt>
                <c:pt idx="10">
                  <c:v>1.9365349999999999</c:v>
                </c:pt>
                <c:pt idx="11">
                  <c:v>0.70752979999999999</c:v>
                </c:pt>
                <c:pt idx="12">
                  <c:v>0.43646309999999999</c:v>
                </c:pt>
                <c:pt idx="13">
                  <c:v>0.88056800000000002</c:v>
                </c:pt>
                <c:pt idx="14">
                  <c:v>2.1593239999999998</c:v>
                </c:pt>
                <c:pt idx="15">
                  <c:v>1.1439079999999999</c:v>
                </c:pt>
                <c:pt idx="16">
                  <c:v>1.246731</c:v>
                </c:pt>
                <c:pt idx="17">
                  <c:v>3.3672719999999998</c:v>
                </c:pt>
                <c:pt idx="18">
                  <c:v>0.16734470000000001</c:v>
                </c:pt>
                <c:pt idx="19">
                  <c:v>2.1464650000000001</c:v>
                </c:pt>
                <c:pt idx="20">
                  <c:v>1.1228419999999999</c:v>
                </c:pt>
                <c:pt idx="21">
                  <c:v>3.5488219999999999</c:v>
                </c:pt>
                <c:pt idx="22">
                  <c:v>1.9679409999999999</c:v>
                </c:pt>
                <c:pt idx="23">
                  <c:v>0.73016389999999998</c:v>
                </c:pt>
                <c:pt idx="24">
                  <c:v>1.9870110000000001</c:v>
                </c:pt>
                <c:pt idx="25">
                  <c:v>0.40410770000000001</c:v>
                </c:pt>
                <c:pt idx="26">
                  <c:v>1.0182230000000001</c:v>
                </c:pt>
                <c:pt idx="27">
                  <c:v>3.4354460000000002</c:v>
                </c:pt>
                <c:pt idx="28">
                  <c:v>1.3719319999999999</c:v>
                </c:pt>
                <c:pt idx="29">
                  <c:v>0.33067449999999998</c:v>
                </c:pt>
                <c:pt idx="30">
                  <c:v>5.1532340000000003</c:v>
                </c:pt>
                <c:pt idx="31">
                  <c:v>0.47517160000000003</c:v>
                </c:pt>
                <c:pt idx="32">
                  <c:v>3.1117149999999998</c:v>
                </c:pt>
                <c:pt idx="33">
                  <c:v>0.85165449999999998</c:v>
                </c:pt>
                <c:pt idx="34">
                  <c:v>0.96514460000000002</c:v>
                </c:pt>
                <c:pt idx="35">
                  <c:v>1.44503</c:v>
                </c:pt>
                <c:pt idx="36">
                  <c:v>1.1343460000000001</c:v>
                </c:pt>
                <c:pt idx="37">
                  <c:v>3.116171</c:v>
                </c:pt>
                <c:pt idx="38">
                  <c:v>1.704415</c:v>
                </c:pt>
                <c:pt idx="39">
                  <c:v>1.0079720000000001</c:v>
                </c:pt>
                <c:pt idx="40">
                  <c:v>1.125497</c:v>
                </c:pt>
                <c:pt idx="41">
                  <c:v>2.6523629999999998</c:v>
                </c:pt>
                <c:pt idx="42">
                  <c:v>0.88672790000000001</c:v>
                </c:pt>
                <c:pt idx="43">
                  <c:v>3.3681009999999998</c:v>
                </c:pt>
                <c:pt idx="44">
                  <c:v>0.7582257</c:v>
                </c:pt>
                <c:pt idx="45">
                  <c:v>0.27386480000000002</c:v>
                </c:pt>
                <c:pt idx="46">
                  <c:v>0.9899635</c:v>
                </c:pt>
                <c:pt idx="47">
                  <c:v>4.9916900000000002</c:v>
                </c:pt>
                <c:pt idx="48">
                  <c:v>0.35253020000000002</c:v>
                </c:pt>
                <c:pt idx="49">
                  <c:v>1.055151</c:v>
                </c:pt>
                <c:pt idx="50">
                  <c:v>2.9847429999999999</c:v>
                </c:pt>
                <c:pt idx="51">
                  <c:v>1.1211260000000001</c:v>
                </c:pt>
                <c:pt idx="52">
                  <c:v>0.59235349999999998</c:v>
                </c:pt>
                <c:pt idx="53">
                  <c:v>0.68480370000000002</c:v>
                </c:pt>
                <c:pt idx="54">
                  <c:v>1.787806</c:v>
                </c:pt>
                <c:pt idx="55">
                  <c:v>2.8591359999999999</c:v>
                </c:pt>
                <c:pt idx="56">
                  <c:v>1.7747040000000001</c:v>
                </c:pt>
                <c:pt idx="57">
                  <c:v>3.05518</c:v>
                </c:pt>
                <c:pt idx="58">
                  <c:v>1.482971</c:v>
                </c:pt>
                <c:pt idx="59">
                  <c:v>3.009169</c:v>
                </c:pt>
                <c:pt idx="60">
                  <c:v>2.018923</c:v>
                </c:pt>
                <c:pt idx="61">
                  <c:v>0.71023270000000005</c:v>
                </c:pt>
                <c:pt idx="62">
                  <c:v>2.2972779999999999</c:v>
                </c:pt>
                <c:pt idx="63">
                  <c:v>2.3775569999999999</c:v>
                </c:pt>
                <c:pt idx="64">
                  <c:v>1.181376</c:v>
                </c:pt>
                <c:pt idx="65">
                  <c:v>1.8512219999999999</c:v>
                </c:pt>
                <c:pt idx="66">
                  <c:v>4.8142009999999997</c:v>
                </c:pt>
                <c:pt idx="67">
                  <c:v>2.0916860000000002</c:v>
                </c:pt>
                <c:pt idx="68">
                  <c:v>3.4847250000000001</c:v>
                </c:pt>
                <c:pt idx="69">
                  <c:v>0.93230630000000003</c:v>
                </c:pt>
                <c:pt idx="70">
                  <c:v>2.6181809999999999</c:v>
                </c:pt>
                <c:pt idx="71">
                  <c:v>1.698553</c:v>
                </c:pt>
                <c:pt idx="72">
                  <c:v>1.252483</c:v>
                </c:pt>
                <c:pt idx="73">
                  <c:v>1.850805</c:v>
                </c:pt>
                <c:pt idx="74">
                  <c:v>5.2920740000000004</c:v>
                </c:pt>
                <c:pt idx="75">
                  <c:v>1.615648</c:v>
                </c:pt>
                <c:pt idx="76">
                  <c:v>0.81003519999999996</c:v>
                </c:pt>
                <c:pt idx="77">
                  <c:v>3.3614739999999999</c:v>
                </c:pt>
                <c:pt idx="78">
                  <c:v>2.777288</c:v>
                </c:pt>
                <c:pt idx="79">
                  <c:v>0.66193740000000001</c:v>
                </c:pt>
                <c:pt idx="80">
                  <c:v>0.85844030000000004</c:v>
                </c:pt>
                <c:pt idx="81">
                  <c:v>0.6940231</c:v>
                </c:pt>
                <c:pt idx="82">
                  <c:v>0.46711140000000001</c:v>
                </c:pt>
                <c:pt idx="83">
                  <c:v>2.4065279999999998</c:v>
                </c:pt>
                <c:pt idx="84">
                  <c:v>2.2110180000000001</c:v>
                </c:pt>
                <c:pt idx="85">
                  <c:v>0.67709399999999997</c:v>
                </c:pt>
                <c:pt idx="86">
                  <c:v>0.86999400000000005</c:v>
                </c:pt>
                <c:pt idx="87">
                  <c:v>1.379427</c:v>
                </c:pt>
                <c:pt idx="88">
                  <c:v>1.4961089999999999</c:v>
                </c:pt>
                <c:pt idx="89">
                  <c:v>0.63969209999999999</c:v>
                </c:pt>
                <c:pt idx="90">
                  <c:v>1.0379579999999999</c:v>
                </c:pt>
                <c:pt idx="91">
                  <c:v>1.1092610000000001</c:v>
                </c:pt>
                <c:pt idx="92">
                  <c:v>2.1564209999999999</c:v>
                </c:pt>
                <c:pt idx="93">
                  <c:v>0.55510559999999998</c:v>
                </c:pt>
                <c:pt idx="94">
                  <c:v>1.933681</c:v>
                </c:pt>
                <c:pt idx="95">
                  <c:v>1.33965</c:v>
                </c:pt>
                <c:pt idx="96">
                  <c:v>1.1025240000000001</c:v>
                </c:pt>
                <c:pt idx="97">
                  <c:v>0.56375430000000004</c:v>
                </c:pt>
                <c:pt idx="98">
                  <c:v>1.842962</c:v>
                </c:pt>
                <c:pt idx="99">
                  <c:v>0.41650549999999997</c:v>
                </c:pt>
                <c:pt idx="100">
                  <c:v>0.87151380000000001</c:v>
                </c:pt>
                <c:pt idx="101">
                  <c:v>1.8840920000000001</c:v>
                </c:pt>
                <c:pt idx="102">
                  <c:v>0.8862023</c:v>
                </c:pt>
                <c:pt idx="103">
                  <c:v>2.2736429999999999</c:v>
                </c:pt>
                <c:pt idx="104">
                  <c:v>1.812819</c:v>
                </c:pt>
                <c:pt idx="105">
                  <c:v>1.317415</c:v>
                </c:pt>
                <c:pt idx="106">
                  <c:v>5.9221649999999997</c:v>
                </c:pt>
                <c:pt idx="107">
                  <c:v>1.7724530000000001</c:v>
                </c:pt>
                <c:pt idx="108">
                  <c:v>1.944958</c:v>
                </c:pt>
                <c:pt idx="109">
                  <c:v>5.4463600000000003</c:v>
                </c:pt>
                <c:pt idx="110">
                  <c:v>1.7248129999999999</c:v>
                </c:pt>
                <c:pt idx="111">
                  <c:v>2.487479</c:v>
                </c:pt>
                <c:pt idx="112">
                  <c:v>1.171713</c:v>
                </c:pt>
                <c:pt idx="113">
                  <c:v>2.7780100000000001</c:v>
                </c:pt>
                <c:pt idx="114">
                  <c:v>2.3580489999999998</c:v>
                </c:pt>
                <c:pt idx="115">
                  <c:v>0.92406449999999996</c:v>
                </c:pt>
                <c:pt idx="116">
                  <c:v>1.5348850000000001</c:v>
                </c:pt>
                <c:pt idx="117">
                  <c:v>0.50436519999999996</c:v>
                </c:pt>
                <c:pt idx="118">
                  <c:v>1.0669789999999999</c:v>
                </c:pt>
                <c:pt idx="119">
                  <c:v>0.14395920000000001</c:v>
                </c:pt>
                <c:pt idx="120">
                  <c:v>1.6092010000000001</c:v>
                </c:pt>
                <c:pt idx="121">
                  <c:v>4.989649</c:v>
                </c:pt>
                <c:pt idx="122">
                  <c:v>1.0378529999999999</c:v>
                </c:pt>
                <c:pt idx="123">
                  <c:v>0.62996540000000001</c:v>
                </c:pt>
                <c:pt idx="124">
                  <c:v>0.56967069999999997</c:v>
                </c:pt>
                <c:pt idx="125">
                  <c:v>3.0135429999999999</c:v>
                </c:pt>
                <c:pt idx="126">
                  <c:v>1.2519979999999999</c:v>
                </c:pt>
                <c:pt idx="127">
                  <c:v>0.33748669999999997</c:v>
                </c:pt>
                <c:pt idx="128">
                  <c:v>0.82609520000000003</c:v>
                </c:pt>
                <c:pt idx="129">
                  <c:v>1.135929</c:v>
                </c:pt>
                <c:pt idx="130">
                  <c:v>0.53883009999999998</c:v>
                </c:pt>
                <c:pt idx="131">
                  <c:v>0.2614513</c:v>
                </c:pt>
                <c:pt idx="132">
                  <c:v>0.87303569999999997</c:v>
                </c:pt>
                <c:pt idx="133">
                  <c:v>0.45299840000000002</c:v>
                </c:pt>
                <c:pt idx="134">
                  <c:v>0.75557430000000003</c:v>
                </c:pt>
                <c:pt idx="135">
                  <c:v>1.4764569999999999</c:v>
                </c:pt>
                <c:pt idx="136">
                  <c:v>1.3841920000000001</c:v>
                </c:pt>
                <c:pt idx="137">
                  <c:v>1.3628880000000001</c:v>
                </c:pt>
                <c:pt idx="138">
                  <c:v>0.77329820000000005</c:v>
                </c:pt>
                <c:pt idx="139">
                  <c:v>1.298144</c:v>
                </c:pt>
                <c:pt idx="140">
                  <c:v>0.72295209999999999</c:v>
                </c:pt>
                <c:pt idx="141">
                  <c:v>1.88486</c:v>
                </c:pt>
                <c:pt idx="142">
                  <c:v>1.0335890000000001</c:v>
                </c:pt>
                <c:pt idx="143">
                  <c:v>1.1585510000000001</c:v>
                </c:pt>
                <c:pt idx="144">
                  <c:v>1.9552430000000001</c:v>
                </c:pt>
                <c:pt idx="145">
                  <c:v>1.9223680000000001</c:v>
                </c:pt>
                <c:pt idx="146">
                  <c:v>4.3894520000000004</c:v>
                </c:pt>
                <c:pt idx="147">
                  <c:v>0.92545180000000005</c:v>
                </c:pt>
                <c:pt idx="148">
                  <c:v>0.68859740000000003</c:v>
                </c:pt>
                <c:pt idx="149">
                  <c:v>0.64625259999999995</c:v>
                </c:pt>
                <c:pt idx="150">
                  <c:v>1.074981</c:v>
                </c:pt>
                <c:pt idx="151">
                  <c:v>0.22350999999999999</c:v>
                </c:pt>
                <c:pt idx="152">
                  <c:v>0.35862430000000001</c:v>
                </c:pt>
                <c:pt idx="153">
                  <c:v>2.3779539999999999</c:v>
                </c:pt>
                <c:pt idx="154">
                  <c:v>2.206496</c:v>
                </c:pt>
                <c:pt idx="155">
                  <c:v>0.56774219999999997</c:v>
                </c:pt>
                <c:pt idx="156">
                  <c:v>0.84351319999999996</c:v>
                </c:pt>
                <c:pt idx="157">
                  <c:v>1.078973</c:v>
                </c:pt>
                <c:pt idx="158">
                  <c:v>1.0571969999999999</c:v>
                </c:pt>
              </c:numCache>
            </c:numRef>
          </c:yVal>
          <c:smooth val="0"/>
        </c:ser>
        <c:dLbls>
          <c:showLegendKey val="0"/>
          <c:showVal val="0"/>
          <c:showCatName val="0"/>
          <c:showSerName val="0"/>
          <c:showPercent val="0"/>
          <c:showBubbleSize val="0"/>
        </c:dLbls>
        <c:axId val="84542592"/>
        <c:axId val="138936320"/>
      </c:scatterChart>
      <c:valAx>
        <c:axId val="84542592"/>
        <c:scaling>
          <c:orientation val="minMax"/>
          <c:max val="6"/>
        </c:scaling>
        <c:delete val="0"/>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2006</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38936320"/>
        <c:crosses val="autoZero"/>
        <c:crossBetween val="midCat"/>
      </c:valAx>
      <c:valAx>
        <c:axId val="138936320"/>
        <c:scaling>
          <c:orientation val="minMax"/>
          <c:max val="6"/>
        </c:scaling>
        <c:delete val="0"/>
        <c:axPos val="l"/>
        <c:majorGridlines/>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2010</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84542592"/>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0.10679</cdr:x>
      <cdr:y>0.03223</cdr:y>
    </cdr:from>
    <cdr:to>
      <cdr:x>0.96544</cdr:x>
      <cdr:y>0.88559</cdr:y>
    </cdr:to>
    <cdr:cxnSp macro="">
      <cdr:nvCxnSpPr>
        <cdr:cNvPr id="3" name="Straight Connector 2"/>
        <cdr:cNvCxnSpPr/>
      </cdr:nvCxnSpPr>
      <cdr:spPr>
        <a:xfrm xmlns:a="http://schemas.openxmlformats.org/drawingml/2006/main" flipV="1">
          <a:off x="482803" y="129387"/>
          <a:ext cx="3882144" cy="3425800"/>
        </a:xfrm>
        <a:prstGeom xmlns:a="http://schemas.openxmlformats.org/drawingml/2006/main" prst="line">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0967-D77C-48DF-A495-CDD78370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7315</Words>
  <Characters>41699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Tulane Economics</dc:creator>
  <cp:lastModifiedBy>sjoquist</cp:lastModifiedBy>
  <cp:revision>2</cp:revision>
  <cp:lastPrinted>2013-08-02T21:31:00Z</cp:lastPrinted>
  <dcterms:created xsi:type="dcterms:W3CDTF">2013-10-11T16:21:00Z</dcterms:created>
  <dcterms:modified xsi:type="dcterms:W3CDTF">2013-10-11T16:21:00Z</dcterms:modified>
</cp:coreProperties>
</file>